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校本 AI 使用政策範本（教職員版＋學生版）</w:t>
      </w:r>
    </w:p>
    <w:p>
      <w:r>
        <w:rPr>
          <w:rFonts w:ascii="Quicksand" w:hAnsi="Quicksand" w:cs="Quicksand" w:eastAsia="Noto Sans TC"/>
          <w:color w:val="6F6F6F"/>
          <w:sz w:val="24"/>
        </w:rPr>
        <w:t>P1–S6 校本規劃 · 十一個章節 · 附完成示例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學校名稱：〔　　　　　　　　　〕　版本：〔　　　〕　負責人：〔　　　　　　〕　檢討日期：〔　　　　　　〕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第一部分　教職員版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本部分共十一節，每節都留有填空位置，學校按實際情況填寫即可。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一、目的與適用範圍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說明本政策適用於誰，以及適用於哪些場合。同時寫出本政策與學校既有文件的關係，避免兩份文件對同一件事有不同說法。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適用對象：〔例：全體教職員、全體學生，以及以學校名義提供服務的校外導師〕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適用場合：〔例：校內課堂、課外活動、網課，以及在家完成的課業〕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與現有文件的關係：〔列出需要一併檢視的校內文件，例如個人資料收集聲明〕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二、校本推行、問責與學校發展計劃的要求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按教育局的規劃要求，學校須在 2026/27 學年把數字教育納入學校發展計劃及／或學校周年計劃，並以「策劃—推行—評估」循環檢視成效。本章寫出在本校由誰主責、資源從何而來、何時向校方匯報。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主責人及工作小組：〔姓名或職位〕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推行時間表：〔本學年內的分期目標〕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匯報機制：〔例如每學期向校務會議匯報一次〕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所需資源：〔時間、培訓、設備〕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三、教職員使用守則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列出教師使用 AI 時的原則，以及處理學習數據的規定。重點是：學生的作品或個人資料，在移除可識別部分之前，不得上載到任何 AI 工具。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可使用與不可使用的工具類型：〔按學校核准清單〕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不得輸入的資料：〔學生姓名、班別、成績、聯絡方法等〕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批改與回饋的處理：〔去識別化的步驟〕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向學生交代的責任：〔說明課業上 AI 的角色〕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四、學生使用守則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把規則改寫成學生讀得懂的短句，於班主任課說明並放入學生手冊。最低限度要說明：哪些課業可以／不可以借助 AI、如何標示曾使用 AI，以及不可輸入的個人資料。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可以使用 AI 的範圍：〔例如蒐集背景資料、檢查語句〕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必須標示使用情況：〔標示方式與位置〕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不可輸入的資料：〔自己及他人的個人資料〕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不當使用的處理：〔按學校現行獎懲機制〕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五、個人資料與私隱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說明學校如何處理學生及教職員的個人資料，以及在使用 AI 工具時如何符合個人資料私隱的要求。本章宜與學校既有的個人資料收集聲明一併檢視。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收集與使用目的：〔與現行聲明一致〕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上載前的去識別化步驟：〔由誰執行、如何記錄〕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保存期限與存取權限：〔誰可查閱、保存多久〕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資料外洩的處理：〔接第 9 章的程序〕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六、學術誠信與評估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訂明哪些課業必須由學生獨立完成、哪些可以借助 AI，以及教師如何在任務設計上減少倚賴 AI 的誘因。評估宜以學生能否解釋自己的思考為準，而非只看成品。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須獨立完成的課業類型：〔例如校內測考、即席寫作〕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可用 AI 的課業類型：〔並訂明標示方式〕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評估方式的調整：〔加入口頭解說或歷程記錄〕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教師的提問安排：〔在課堂上要求學生解釋想法〕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七、知識產權與引用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說明使用 AI 生成內容時的版權考慮，以及學生和教師應如何標示來源。學校不應把 AI 生成的內容當作原創作品提交或發表。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引用與標示格式：〔統一格式，適用於學生與教職員〕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不可提交的內容：〔AI 生成的成品當作原創〕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教材製作的注意事項：〔圖片、文字、音樂〕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八、工具選擇與核准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列出學校核准使用的 AI 工具類別與核准程序。政策起草時通常仍未選定工具，因此本章先寫規則（誰可核准、考慮什麼），再於另附清單列出當期核准使用的工具。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核准程序與負責人：〔由誰核准、如何記錄〕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評估準則：〔資料處理方式、年齡合適程度、收費模式〕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工具清單的更新：〔定期檢視與下架安排〕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教職員試用新工具的安排：〔先申請後使用〕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九、事件處理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說明當 AI 使用出現事故（例如資料外洩、不當內容、抄襲爭議）時的即時處理步驟與呈報路線，並訂明事後檢討的安排。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即時處理步驟：〔停止使用、保留紀錄〕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校內呈報路線：〔由誰統籌、向誰報告〕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向家長及校方的通報時機：〔訂明時限〕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事後檢討：〔記錄於事故登記冊，於檢討時一併檢視〕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十、家長溝通與同意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說明學校如何向家長交代校內使用 AI 的安排，以及哪些情況需要取得家長同意。家長應知道可以就本政策向誰查詢。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向家長說明的內容與時機：〔例如開學通告〕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需取得同意的情況：〔涉及學生個人資料或作品時〕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家長的查詢渠道：〔指定聯絡人及方式〕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十一、檢討周期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訂明本政策的檢討周期、負責人，以及檢討時會參考的資料。本章應寫入學校周年計劃，並訂明下次檢討的日期。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檢討周期：〔例如每學年一次〕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負責人：〔職位〕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參考資料：〔教職員與學生意見、事故記錄、工具的變化〕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下次檢討日期：〔年月〕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第二部分　學生版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本部分把第一部分中與學生直接相關的規則，改寫成學生讀得懂的短句，可於班主任課說明並放入學生手冊。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在校內怎樣使用 AI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把第一部分中與學生直接相關的規則，改寫成學生讀得懂的短句。以下為起稿框架，學校可加入本科例子。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我可以用 AI：〔例如幫助我理解一個概念、檢查語句、找背景資料〕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我不可以用 AI：〔代替我自己完成須獨立完成的課業〕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老師說明可以用的時候：〔按老師指示〕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我要標示甚麼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學生應知道：只要用了 AI，就要在課業上寫明用了在哪裡。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我在哪一部分用了 AI：〔位置〕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我問了甚麼、它答了甚麼：〔簡短記錄〕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我最後改動了甚麼、為甚麼：〔一句話說明〕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我不可輸入甚麼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學生不可把自己的或他人的個人資料輸入 AI 工具。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我自己及同學的姓名、班別、相片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學校內部資料、成績、聯絡方法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如果不確定：〔先問老師〕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如果出了問題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學生知道出錯時應該怎樣做，比事後追究更重要。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立即停止使用並通知老師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保留紀錄，不要刪除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如涉及個人資料：〔按學校指示處理〕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第三部分　完成示例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以下為一所虛構學校填好的版本，只用來說明每一欄應該寫到多具體。請勿照抄校名或人名。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第一章　目的與適用範圍（示例）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本政策適用於本校全體教職員、全體學生，以及以本校名義提供服務的校外導師。適用於校內課堂、課外活動、網課，以及在家完成的課業。本政策與本校《個人資料收集聲明》及《學術誠信政策》一併檢視。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第二章　推行與問責（示例）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由課程統籌主任主責，並由資訊科技組、訓輔組及科主任各一人組成工作小組。二零二六年九月向校務會議提交時間表，其後每學期匯報一次。培訓時間由校方在教師發展日預留。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第三章　教職員守則（示例）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教職員只可使用本校核准清單上的工具。學生作品在移除姓名、班別及任何可識別部分之前，不得上載。批改由教師負責，不以 AI 直接產生分數。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第五章　個人資料與私隱（示例）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上載前的去識別化由任教老師執行，並在批改紀錄上註明。相關材料保存一個學年，只限任教老師及科主任查閱。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第九章　事件處理（示例）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發現資料外洩時，使用者須立即停止操作、保留紀錄，並於同日通知資訊科技組；由資訊科技組按本校既定程序處理，並在三個上課日內通知受影響學生的家長。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第十一章　檢討周期（示例）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本政策每學年檢討一次，由課程統籌主任負責，於每年六月檢視教職員與學生意見、事故記錄及工具清單的變化，並在九月新學年開始前更新。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附錄　版本記錄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每次修訂後請更新此表，並在公布版本上註明日期與核准人。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07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版本</w:t>
            </w:r>
          </w:p>
        </w:tc>
        <w:tc>
          <w:tcPr>
            <w:tcW w:type="dxa" w:w="21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日期</w:t>
            </w:r>
          </w:p>
        </w:tc>
        <w:tc>
          <w:tcPr>
            <w:tcW w:type="dxa" w:w="42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修訂內容</w:t>
            </w:r>
          </w:p>
        </w:tc>
        <w:tc>
          <w:tcPr>
            <w:tcW w:type="dxa" w:w="21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核准人</w:t>
            </w:r>
          </w:p>
        </w:tc>
      </w:tr>
      <w:tr>
        <w:tc>
          <w:tcPr>
            <w:tcW w:type="dxa" w:w="107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1.0</w:t>
            </w:r>
          </w:p>
        </w:tc>
        <w:tc>
          <w:tcPr>
            <w:tcW w:type="dxa" w:w="21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　　　〕</w:t>
            </w:r>
          </w:p>
        </w:tc>
        <w:tc>
          <w:tcPr>
            <w:tcW w:type="dxa" w:w="4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首次公布</w:t>
            </w:r>
          </w:p>
        </w:tc>
        <w:tc>
          <w:tcPr>
            <w:tcW w:type="dxa" w:w="21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〔　　　　　〕</w:t>
            </w:r>
          </w:p>
        </w:tc>
      </w:tr>
      <w:tr>
        <w:tc>
          <w:tcPr>
            <w:tcW w:type="dxa" w:w="107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1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1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07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1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1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