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rPr>
          <w:rFonts w:ascii="Quicksand" w:hAnsi="Quicksand" w:cs="Quicksand" w:eastAsia="Noto Sans TC"/>
          <w:b/>
          <w:color w:val="080808"/>
          <w:sz w:val="44"/>
        </w:rPr>
        <w:t>Student AI-use code and classroom poster set</w:t>
      </w:r>
    </w:p>
    <w:p>
      <w:r>
        <w:rPr>
          <w:rFonts w:ascii="Quicksand" w:hAnsi="Quicksand" w:cs="Quicksand" w:eastAsia="Noto Sans TC"/>
          <w:color w:val="6F6F6F"/>
          <w:sz w:val="24"/>
        </w:rPr>
        <w:t>P1-S6 · Form teachers and parents · six rules · three A3 posters · a 30-minute briefing · six scenario cards</w:t>
      </w:r>
    </w:p>
    <w:p>
      <w:r>
        <w:rPr>
          <w:rFonts w:ascii="Quicksand" w:hAnsi="Quicksand" w:cs="Quicksand" w:eastAsia="Noto Sans TC"/>
          <w:color w:val="E10707"/>
          <w:sz w:val="18"/>
        </w:rPr>
        <w:t>──────────────────────────────────────────────</w:t>
      </w:r>
    </w:p>
    <w:p>
      <w:r>
        <w:rPr>
          <w:rFonts w:ascii="Quicksand" w:hAnsi="Quicksand" w:cs="Quicksand" w:eastAsia="Noto Sans TC"/>
          <w:b w:val="0"/>
          <w:color w:val="080808"/>
          <w:sz w:val="21"/>
        </w:rPr>
        <w:t>Four parts: ① the six rules with their official basis ② three A3 posters, one to a page (photocopy at A3 size) ③ a 30-minute form-teacher briefing ④ six scenario cards, ready to cut.</w:t>
      </w:r>
    </w:p>
    <w:tbl>
      <w:tblPr>
        <w:tblW w:type="auto" w:w="0"/>
        <w:tblLook w:firstColumn="1" w:firstRow="1" w:lastColumn="0" w:lastRow="0" w:noHBand="0" w:noVBand="1" w:val="04A0"/>
      </w:tblPr>
      <w:tblGrid>
        <w:gridCol w:w="9638"/>
      </w:tblGrid>
      <w:tr>
        <w:tc>
          <w:tcPr>
            <w:tcW w:type="dxa" w:w="9638"/>
            <w:shd w:val="clear" w:fill="FDEAEA"/>
          </w:tcPr>
          <w:p>
            <w:r/>
            <w:r>
              <w:rPr>
                <w:rFonts w:ascii="Quicksand" w:hAnsi="Quicksand" w:cs="Quicksand" w:eastAsia="Noto Sans TC"/>
                <w:color w:val="080808"/>
                <w:sz w:val="20"/>
              </w:rPr>
              <w:t>Two boundaries: the code sets behaviour boundaries only and carries no penalties — a breach goes through the school's existing arrangements. The primary framework's AI component is a trial version and there is no equivalent official curriculum framework at secondary level; neither may be presented as an Education Bureau requirement.</w:t>
            </w:r>
          </w:p>
        </w:tc>
      </w:tr>
    </w:tbl>
    <w:p>
      <w:pPr>
        <w:spacing w:before="240" w:after="80"/>
      </w:pPr>
      <w:r>
        <w:rPr>
          <w:rFonts w:ascii="Quicksand" w:hAnsi="Quicksand" w:cs="Quicksand" w:eastAsia="Noto Sans TC"/>
          <w:b/>
          <w:color w:val="E10707"/>
          <w:sz w:val="32"/>
        </w:rPr>
        <w:t>Part 1  The six rules and their official basis</w:t>
      </w:r>
    </w:p>
    <w:p>
      <w:r>
        <w:rPr>
          <w:rFonts w:ascii="Quicksand" w:hAnsi="Quicksand" w:cs="Quicksand" w:eastAsia="Noto Sans TC"/>
          <w:b w:val="0"/>
          <w:color w:val="080808"/>
          <w:sz w:val="21"/>
        </w:rPr>
        <w:t>Five of the six use the official phrasing (outsourcing of thinking, academic integrity, personal data, copyright, over-use); "checking" is the one action this resource adds, resting on principle 6 of the Guide to Using AI in Teaching, which notes that a tool produces inaccurate content. Teach one "you may" and one "you may not" for every rule.</w:t>
      </w:r>
    </w:p>
    <w:tbl>
      <w:tblPr>
        <w:tblStyle w:val="TableGrid"/>
        <w:tblW w:type="auto" w:w="0"/>
        <w:jc w:val="left"/>
        <w:tblLook w:firstColumn="1" w:firstRow="1" w:lastColumn="0" w:lastRow="0" w:noHBand="0" w:noVBand="1" w:val="04A0"/>
      </w:tblPr>
      <w:tblGrid>
        <w:gridCol w:w="2409"/>
        <w:gridCol w:w="2409"/>
        <w:gridCol w:w="2409"/>
        <w:gridCol w:w="2409"/>
      </w:tblGrid>
      <w:tr>
        <w:tc>
          <w:tcPr>
            <w:tcW w:type="dxa" w:w="1928"/>
            <w:shd w:val="clear" w:fill="E10707"/>
          </w:tcPr>
          <w:p>
            <w:r/>
            <w:r>
              <w:rPr>
                <w:rFonts w:ascii="Quicksand" w:hAnsi="Quicksand" w:cs="Quicksand" w:eastAsia="Noto Sans TC"/>
                <w:b/>
                <w:color w:val="FFFFFF"/>
                <w:sz w:val="20"/>
              </w:rPr>
              <w:t>Rule</w:t>
            </w:r>
          </w:p>
        </w:tc>
        <w:tc>
          <w:tcPr>
            <w:tcW w:type="dxa" w:w="2409"/>
            <w:shd w:val="clear" w:fill="E10707"/>
          </w:tcPr>
          <w:p>
            <w:r/>
            <w:r>
              <w:rPr>
                <w:rFonts w:ascii="Quicksand" w:hAnsi="Quicksand" w:cs="Quicksand" w:eastAsia="Noto Sans TC"/>
                <w:b/>
                <w:color w:val="FFFFFF"/>
                <w:sz w:val="20"/>
              </w:rPr>
              <w:t>You may</w:t>
            </w:r>
          </w:p>
        </w:tc>
        <w:tc>
          <w:tcPr>
            <w:tcW w:type="dxa" w:w="2409"/>
            <w:shd w:val="clear" w:fill="E10707"/>
          </w:tcPr>
          <w:p>
            <w:r/>
            <w:r>
              <w:rPr>
                <w:rFonts w:ascii="Quicksand" w:hAnsi="Quicksand" w:cs="Quicksand" w:eastAsia="Noto Sans TC"/>
                <w:b/>
                <w:color w:val="FFFFFF"/>
                <w:sz w:val="20"/>
              </w:rPr>
              <w:t>You may not</w:t>
            </w:r>
          </w:p>
        </w:tc>
        <w:tc>
          <w:tcPr>
            <w:tcW w:type="dxa" w:w="2891"/>
            <w:shd w:val="clear" w:fill="E10707"/>
          </w:tcPr>
          <w:p>
            <w:r/>
            <w:r>
              <w:rPr>
                <w:rFonts w:ascii="Quicksand" w:hAnsi="Quicksand" w:cs="Quicksand" w:eastAsia="Noto Sans TC"/>
                <w:b/>
                <w:color w:val="FFFFFF"/>
                <w:sz w:val="20"/>
              </w:rPr>
              <w:t>Basis</w:t>
            </w:r>
          </w:p>
        </w:tc>
      </w:tr>
      <w:tr>
        <w:tc>
          <w:tcPr>
            <w:tcW w:type="dxa" w:w="1928"/>
          </w:tcPr>
          <w:p>
            <w:r/>
            <w:r>
              <w:rPr>
                <w:rFonts w:ascii="Quicksand" w:hAnsi="Quicksand" w:cs="Quicksand" w:eastAsia="Noto Sans TC"/>
                <w:sz w:val="20"/>
              </w:rPr>
              <w:t>1 · Outsourcing of thinking: think first, then ask the tool</w:t>
            </w:r>
          </w:p>
        </w:tc>
        <w:tc>
          <w:tcPr>
            <w:tcW w:type="dxa" w:w="2409"/>
          </w:tcPr>
          <w:p>
            <w:r/>
            <w:r>
              <w:rPr>
                <w:rFonts w:ascii="Quicksand" w:hAnsi="Quicksand" w:cs="Quicksand" w:eastAsia="Noto Sans TC"/>
                <w:sz w:val="20"/>
              </w:rPr>
              <w:t>Write down your own method and answer first, then compare with the tool and say where they differ</w:t>
            </w:r>
          </w:p>
        </w:tc>
        <w:tc>
          <w:tcPr>
            <w:tcW w:type="dxa" w:w="2409"/>
          </w:tcPr>
          <w:p>
            <w:r/>
            <w:r>
              <w:rPr>
                <w:rFonts w:ascii="Quicksand" w:hAnsi="Quicksand" w:cs="Quicksand" w:eastAsia="Noto Sans TC"/>
                <w:sz w:val="20"/>
              </w:rPr>
              <w:t>Hand the whole question to the tool without reading its working, and copy the result</w:t>
            </w:r>
          </w:p>
        </w:tc>
        <w:tc>
          <w:tcPr>
            <w:tcW w:type="dxa" w:w="2891"/>
          </w:tcPr>
          <w:p>
            <w:r/>
            <w:r>
              <w:rPr>
                <w:rFonts w:ascii="Quicksand" w:hAnsi="Quicksand" w:cs="Quicksand" w:eastAsia="Noto Sans TC"/>
                <w:sz w:val="20"/>
              </w:rPr>
              <w:t>Guide to Using AI in Teaching; Education Bureau Circular No. 156/2026</w:t>
            </w:r>
          </w:p>
        </w:tc>
      </w:tr>
      <w:tr>
        <w:tc>
          <w:tcPr>
            <w:tcW w:type="dxa" w:w="1928"/>
          </w:tcPr>
          <w:p>
            <w:r/>
            <w:r>
              <w:rPr>
                <w:rFonts w:ascii="Quicksand" w:hAnsi="Quicksand" w:cs="Quicksand" w:eastAsia="Noto Sans TC"/>
                <w:sz w:val="20"/>
              </w:rPr>
              <w:t>2 · Checking: check before you use it</w:t>
            </w:r>
          </w:p>
        </w:tc>
        <w:tc>
          <w:tcPr>
            <w:tcW w:type="dxa" w:w="2409"/>
          </w:tcPr>
          <w:p>
            <w:r/>
            <w:r>
              <w:rPr>
                <w:rFonts w:ascii="Quicksand" w:hAnsi="Quicksand" w:cs="Quicksand" w:eastAsia="Noto Sans TC"/>
                <w:sz w:val="20"/>
              </w:rPr>
              <w:t>Check the tool's claim against a second source, and stop to look further when the two differ</w:t>
            </w:r>
          </w:p>
        </w:tc>
        <w:tc>
          <w:tcPr>
            <w:tcW w:type="dxa" w:w="2409"/>
          </w:tcPr>
          <w:p>
            <w:r/>
            <w:r>
              <w:rPr>
                <w:rFonts w:ascii="Quicksand" w:hAnsi="Quicksand" w:cs="Quicksand" w:eastAsia="Noto Sans TC"/>
                <w:sz w:val="20"/>
              </w:rPr>
              <w:t>Treat the tool's first answer as a fact and put it into homework or a report</w:t>
            </w:r>
          </w:p>
        </w:tc>
        <w:tc>
          <w:tcPr>
            <w:tcW w:type="dxa" w:w="2891"/>
          </w:tcPr>
          <w:p>
            <w:r/>
            <w:r>
              <w:rPr>
                <w:rFonts w:ascii="Quicksand" w:hAnsi="Quicksand" w:cs="Quicksand" w:eastAsia="Noto Sans TC"/>
                <w:sz w:val="20"/>
              </w:rPr>
              <w:t>Guide to Using AI in Teaching (principle 6)</w:t>
            </w:r>
          </w:p>
        </w:tc>
      </w:tr>
      <w:tr>
        <w:tc>
          <w:tcPr>
            <w:tcW w:type="dxa" w:w="1928"/>
          </w:tcPr>
          <w:p>
            <w:r/>
            <w:r>
              <w:rPr>
                <w:rFonts w:ascii="Quicksand" w:hAnsi="Quicksand" w:cs="Quicksand" w:eastAsia="Noto Sans TC"/>
                <w:sz w:val="20"/>
              </w:rPr>
              <w:t>3 · Academic integrity: say what you used</w:t>
            </w:r>
          </w:p>
        </w:tc>
        <w:tc>
          <w:tcPr>
            <w:tcW w:type="dxa" w:w="2409"/>
          </w:tcPr>
          <w:p>
            <w:r/>
            <w:r>
              <w:rPr>
                <w:rFonts w:ascii="Quicksand" w:hAnsi="Quicksand" w:cs="Quicksand" w:eastAsia="Noto Sans TC"/>
                <w:sz w:val="20"/>
              </w:rPr>
              <w:t>Note on the work which part used the tool and what it was used for</w:t>
            </w:r>
          </w:p>
        </w:tc>
        <w:tc>
          <w:tcPr>
            <w:tcW w:type="dxa" w:w="2409"/>
          </w:tcPr>
          <w:p>
            <w:r/>
            <w:r>
              <w:rPr>
                <w:rFonts w:ascii="Quicksand" w:hAnsi="Quicksand" w:cs="Quicksand" w:eastAsia="Noto Sans TC"/>
                <w:sz w:val="20"/>
              </w:rPr>
              <w:t>Hand in the tool's words as your own, or change a few words and call it your writing</w:t>
            </w:r>
          </w:p>
        </w:tc>
        <w:tc>
          <w:tcPr>
            <w:tcW w:type="dxa" w:w="2891"/>
          </w:tcPr>
          <w:p>
            <w:r/>
            <w:r>
              <w:rPr>
                <w:rFonts w:ascii="Quicksand" w:hAnsi="Quicksand" w:cs="Quicksand" w:eastAsia="Noto Sans TC"/>
                <w:sz w:val="20"/>
              </w:rPr>
              <w:t>Education Bureau Circular No. 156/2026; Values Education Curriculum Framework (2026); information literacy framework (2024)</w:t>
            </w:r>
          </w:p>
        </w:tc>
      </w:tr>
      <w:tr>
        <w:tc>
          <w:tcPr>
            <w:tcW w:type="dxa" w:w="1928"/>
          </w:tcPr>
          <w:p>
            <w:r/>
            <w:r>
              <w:rPr>
                <w:rFonts w:ascii="Quicksand" w:hAnsi="Quicksand" w:cs="Quicksand" w:eastAsia="Noto Sans TC"/>
                <w:sz w:val="20"/>
              </w:rPr>
              <w:t>4 · Personal data: keep identifiable details out</w:t>
            </w:r>
          </w:p>
        </w:tc>
        <w:tc>
          <w:tcPr>
            <w:tcW w:type="dxa" w:w="2409"/>
          </w:tcPr>
          <w:p>
            <w:r/>
            <w:r>
              <w:rPr>
                <w:rFonts w:ascii="Quicksand" w:hAnsi="Quicksand" w:cs="Quicksand" w:eastAsia="Noto Sans TC"/>
                <w:sz w:val="20"/>
              </w:rPr>
              <w:t>Replace names, class and photographs with a code, or delete them before typing</w:t>
            </w:r>
          </w:p>
        </w:tc>
        <w:tc>
          <w:tcPr>
            <w:tcW w:type="dxa" w:w="2409"/>
          </w:tcPr>
          <w:p>
            <w:r/>
            <w:r>
              <w:rPr>
                <w:rFonts w:ascii="Quicksand" w:hAnsi="Quicksand" w:cs="Quicksand" w:eastAsia="Noto Sans TC"/>
                <w:sz w:val="20"/>
              </w:rPr>
              <w:t>Enter your own or a classmate's, family member's or teacher's name, photograph, phone number, address or marks</w:t>
            </w:r>
          </w:p>
        </w:tc>
        <w:tc>
          <w:tcPr>
            <w:tcW w:type="dxa" w:w="2891"/>
          </w:tcPr>
          <w:p>
            <w:r/>
            <w:r>
              <w:rPr>
                <w:rFonts w:ascii="Quicksand" w:hAnsi="Quicksand" w:cs="Quicksand" w:eastAsia="Noto Sans TC"/>
                <w:sz w:val="20"/>
              </w:rPr>
              <w:t>Guide to Using AI in Teaching; Education Bureau Circular No. 156/2026</w:t>
            </w:r>
          </w:p>
        </w:tc>
      </w:tr>
      <w:tr>
        <w:tc>
          <w:tcPr>
            <w:tcW w:type="dxa" w:w="1928"/>
          </w:tcPr>
          <w:p>
            <w:r/>
            <w:r>
              <w:rPr>
                <w:rFonts w:ascii="Quicksand" w:hAnsi="Quicksand" w:cs="Quicksand" w:eastAsia="Noto Sans TC"/>
                <w:sz w:val="20"/>
              </w:rPr>
              <w:t>5 · Copyright: credit the source</w:t>
            </w:r>
          </w:p>
        </w:tc>
        <w:tc>
          <w:tcPr>
            <w:tcW w:type="dxa" w:w="2409"/>
          </w:tcPr>
          <w:p>
            <w:r/>
            <w:r>
              <w:rPr>
                <w:rFonts w:ascii="Quicksand" w:hAnsi="Quicksand" w:cs="Quicksand" w:eastAsia="Noto Sans TC"/>
                <w:sz w:val="20"/>
              </w:rPr>
              <w:t>Credit the source and the tool when you use generated material, and check nothing was copied</w:t>
            </w:r>
          </w:p>
        </w:tc>
        <w:tc>
          <w:tcPr>
            <w:tcW w:type="dxa" w:w="2409"/>
          </w:tcPr>
          <w:p>
            <w:r/>
            <w:r>
              <w:rPr>
                <w:rFonts w:ascii="Quicksand" w:hAnsi="Quicksand" w:cs="Quicksand" w:eastAsia="Noto Sans TC"/>
                <w:sz w:val="20"/>
              </w:rPr>
              <w:t>Present generated material as your own, or ask the tool to imitate a living artist or a textbook</w:t>
            </w:r>
          </w:p>
        </w:tc>
        <w:tc>
          <w:tcPr>
            <w:tcW w:type="dxa" w:w="2891"/>
          </w:tcPr>
          <w:p>
            <w:r/>
            <w:r>
              <w:rPr>
                <w:rFonts w:ascii="Quicksand" w:hAnsi="Quicksand" w:cs="Quicksand" w:eastAsia="Noto Sans TC"/>
                <w:sz w:val="20"/>
              </w:rPr>
              <w:t>Information literacy framework (2024); Guide to Using AI in Teaching</w:t>
            </w:r>
          </w:p>
        </w:tc>
      </w:tr>
      <w:tr>
        <w:tc>
          <w:tcPr>
            <w:tcW w:type="dxa" w:w="1928"/>
          </w:tcPr>
          <w:p>
            <w:r/>
            <w:r>
              <w:rPr>
                <w:rFonts w:ascii="Quicksand" w:hAnsi="Quicksand" w:cs="Quicksand" w:eastAsia="Noto Sans TC"/>
                <w:sz w:val="20"/>
              </w:rPr>
              <w:t>6 · Over-use: use it for the task, and stop</w:t>
            </w:r>
          </w:p>
        </w:tc>
        <w:tc>
          <w:tcPr>
            <w:tcW w:type="dxa" w:w="2409"/>
          </w:tcPr>
          <w:p>
            <w:r/>
            <w:r>
              <w:rPr>
                <w:rFonts w:ascii="Quicksand" w:hAnsi="Quicksand" w:cs="Quicksand" w:eastAsia="Noto Sans TC"/>
                <w:sz w:val="20"/>
              </w:rPr>
              <w:t>Stop when the task is done, close the tool and do something else</w:t>
            </w:r>
          </w:p>
        </w:tc>
        <w:tc>
          <w:tcPr>
            <w:tcW w:type="dxa" w:w="2409"/>
          </w:tcPr>
          <w:p>
            <w:r/>
            <w:r>
              <w:rPr>
                <w:rFonts w:ascii="Quicksand" w:hAnsi="Quicksand" w:cs="Quicksand" w:eastAsia="Noto Sans TC"/>
                <w:sz w:val="20"/>
              </w:rPr>
              <w:t>Give up rest, sleep, exercise or time with people in order to ask a few more times</w:t>
            </w:r>
          </w:p>
        </w:tc>
        <w:tc>
          <w:tcPr>
            <w:tcW w:type="dxa" w:w="2891"/>
          </w:tcPr>
          <w:p>
            <w:r/>
            <w:r>
              <w:rPr>
                <w:rFonts w:ascii="Quicksand" w:hAnsi="Quicksand" w:cs="Quicksand" w:eastAsia="Noto Sans TC"/>
                <w:sz w:val="20"/>
              </w:rPr>
              <w:t>Education Bureau Circular No. 156/2026; Guide to Using AI in Teaching</w:t>
            </w:r>
          </w:p>
        </w:tc>
      </w:tr>
    </w:tbl>
    <w:p>
      <w:pPr>
        <w:spacing w:after="120"/>
      </w:pPr>
    </w:p>
    <w:p>
      <w:pPr>
        <w:pStyle w:val="ListBullet"/>
      </w:pPr>
      <w:r>
        <w:rPr>
          <w:rFonts w:ascii="Quicksand" w:hAnsi="Quicksand" w:cs="Quicksand" w:eastAsia="Noto Sans TC"/>
          <w:sz w:val="21"/>
        </w:rPr>
        <w:t>Write the "may not" concretely: "do not plagiarise" gives a pupil nothing to judge against; "change a few words and call it your writing" does.</w:t>
      </w:r>
    </w:p>
    <w:p>
      <w:pPr>
        <w:pStyle w:val="ListBullet"/>
      </w:pPr>
      <w:r>
        <w:rPr>
          <w:rFonts w:ascii="Quicksand" w:hAnsi="Quicksand" w:cs="Quicksand" w:eastAsia="Noto Sans TC"/>
          <w:sz w:val="21"/>
        </w:rPr>
        <w:t>The basis column is for the teacher, not the pupil: a primary pupil need not learn document titles; the teacher needs to be able to look it up.</w:t>
      </w:r>
    </w:p>
    <w:p>
      <w:pPr>
        <w:sectPr>
          <w:pgSz w:w="11906" w:h="16838"/>
          <w:pgMar w:top="1020" w:right="1134" w:bottom="1020" w:left="1134" w:header="720" w:footer="720" w:gutter="0"/>
          <w:cols w:space="720"/>
          <w:docGrid w:linePitch="360"/>
        </w:sectPr>
      </w:pPr>
    </w:p>
    <w:p>
      <w:r>
        <w:rPr>
          <w:rFonts w:ascii="Quicksand" w:hAnsi="Quicksand" w:cs="Quicksand" w:eastAsia="Noto Sans TC"/>
          <w:b/>
          <w:color w:val="6F6F6F"/>
          <w:sz w:val="24"/>
        </w:rPr>
        <w:t>Poster 1</w:t>
      </w:r>
    </w:p>
    <w:p>
      <w:r>
        <w:rPr>
          <w:rFonts w:ascii="Quicksand" w:hAnsi="Quicksand" w:cs="Quicksand" w:eastAsia="Noto Sans TC"/>
          <w:b/>
          <w:color w:val="080808"/>
          <w:sz w:val="80"/>
        </w:rPr>
        <w:t>The six rules</w:t>
      </w:r>
    </w:p>
    <w:p>
      <w:r>
        <w:rPr>
          <w:rFonts w:ascii="Quicksand" w:hAnsi="Quicksand" w:cs="Quicksand" w:eastAsia="Noto Sans TC"/>
          <w:b w:val="0"/>
          <w:color w:val="080808"/>
          <w:sz w:val="28"/>
        </w:rPr>
        <w:t>Every rule has one "you may" — doing that is keeping the rule.</w:t>
      </w:r>
    </w:p>
    <w:p>
      <w:pPr>
        <w:spacing w:after="120"/>
      </w:pPr>
    </w:p>
    <w:p>
      <w:r>
        <w:rPr>
          <w:rFonts w:ascii="Quicksand" w:hAnsi="Quicksand" w:cs="Quicksand" w:eastAsia="Noto Sans TC"/>
          <w:b/>
          <w:color w:val="E10707"/>
          <w:sz w:val="44"/>
        </w:rPr>
        <w:t>1 · Outsourcing of thinking</w:t>
      </w:r>
    </w:p>
    <w:p>
      <w:r>
        <w:rPr>
          <w:rFonts w:ascii="Quicksand" w:hAnsi="Quicksand" w:cs="Quicksand" w:eastAsia="Noto Sans TC"/>
          <w:b w:val="0"/>
          <w:color w:val="080808"/>
          <w:sz w:val="36"/>
        </w:rPr>
        <w:t>Write your own method first, then ask the tool, then say where the two differ.</w:t>
      </w:r>
    </w:p>
    <w:p>
      <w:pPr>
        <w:spacing w:after="80"/>
      </w:pPr>
    </w:p>
    <w:p>
      <w:r>
        <w:rPr>
          <w:rFonts w:ascii="Quicksand" w:hAnsi="Quicksand" w:cs="Quicksand" w:eastAsia="Noto Sans TC"/>
          <w:b/>
          <w:color w:val="E10707"/>
          <w:sz w:val="44"/>
        </w:rPr>
        <w:t>2 · Checking</w:t>
      </w:r>
    </w:p>
    <w:p>
      <w:r>
        <w:rPr>
          <w:rFonts w:ascii="Quicksand" w:hAnsi="Quicksand" w:cs="Quicksand" w:eastAsia="Noto Sans TC"/>
          <w:b w:val="0"/>
          <w:color w:val="080808"/>
          <w:sz w:val="36"/>
        </w:rPr>
        <w:t>Check it against a second source, and stop to look further when they differ.</w:t>
      </w:r>
    </w:p>
    <w:p>
      <w:pPr>
        <w:spacing w:after="80"/>
      </w:pPr>
    </w:p>
    <w:p>
      <w:r>
        <w:rPr>
          <w:rFonts w:ascii="Quicksand" w:hAnsi="Quicksand" w:cs="Quicksand" w:eastAsia="Noto Sans TC"/>
          <w:b/>
          <w:color w:val="E10707"/>
          <w:sz w:val="44"/>
        </w:rPr>
        <w:t>3 · Academic integrity</w:t>
      </w:r>
    </w:p>
    <w:p>
      <w:r>
        <w:rPr>
          <w:rFonts w:ascii="Quicksand" w:hAnsi="Quicksand" w:cs="Quicksand" w:eastAsia="Noto Sans TC"/>
          <w:b w:val="0"/>
          <w:color w:val="080808"/>
          <w:sz w:val="36"/>
        </w:rPr>
        <w:t>Note on the work which part used the tool, and what it was used for.</w:t>
      </w:r>
    </w:p>
    <w:p>
      <w:pPr>
        <w:spacing w:after="80"/>
      </w:pPr>
    </w:p>
    <w:p>
      <w:r>
        <w:rPr>
          <w:rFonts w:ascii="Quicksand" w:hAnsi="Quicksand" w:cs="Quicksand" w:eastAsia="Noto Sans TC"/>
          <w:b/>
          <w:color w:val="E10707"/>
          <w:sz w:val="44"/>
        </w:rPr>
        <w:t>4 · Personal data</w:t>
      </w:r>
    </w:p>
    <w:p>
      <w:r>
        <w:rPr>
          <w:rFonts w:ascii="Quicksand" w:hAnsi="Quicksand" w:cs="Quicksand" w:eastAsia="Noto Sans TC"/>
          <w:b w:val="0"/>
          <w:color w:val="080808"/>
          <w:sz w:val="36"/>
        </w:rPr>
        <w:t>Turn names, photographs and phone numbers into codes, or delete them.</w:t>
      </w:r>
    </w:p>
    <w:p>
      <w:pPr>
        <w:spacing w:after="80"/>
      </w:pPr>
    </w:p>
    <w:p>
      <w:r>
        <w:rPr>
          <w:rFonts w:ascii="Quicksand" w:hAnsi="Quicksand" w:cs="Quicksand" w:eastAsia="Noto Sans TC"/>
          <w:b/>
          <w:color w:val="E10707"/>
          <w:sz w:val="44"/>
        </w:rPr>
        <w:t>5 · Copyright</w:t>
      </w:r>
    </w:p>
    <w:p>
      <w:r>
        <w:rPr>
          <w:rFonts w:ascii="Quicksand" w:hAnsi="Quicksand" w:cs="Quicksand" w:eastAsia="Noto Sans TC"/>
          <w:b w:val="0"/>
          <w:color w:val="080808"/>
          <w:sz w:val="36"/>
        </w:rPr>
        <w:t>Credit the source and the tool; do not pass generated work off as your own.</w:t>
      </w:r>
    </w:p>
    <w:p>
      <w:pPr>
        <w:spacing w:after="80"/>
      </w:pPr>
    </w:p>
    <w:p>
      <w:r>
        <w:rPr>
          <w:rFonts w:ascii="Quicksand" w:hAnsi="Quicksand" w:cs="Quicksand" w:eastAsia="Noto Sans TC"/>
          <w:b/>
          <w:color w:val="E10707"/>
          <w:sz w:val="44"/>
        </w:rPr>
        <w:t>6 · Over-use</w:t>
      </w:r>
    </w:p>
    <w:p>
      <w:r>
        <w:rPr>
          <w:rFonts w:ascii="Quicksand" w:hAnsi="Quicksand" w:cs="Quicksand" w:eastAsia="Noto Sans TC"/>
          <w:b w:val="0"/>
          <w:color w:val="080808"/>
          <w:sz w:val="36"/>
        </w:rPr>
        <w:t>Stop when the task is done; rest, sleep and exercise are not up for trade.</w:t>
      </w:r>
    </w:p>
    <w:p>
      <w:pPr>
        <w:spacing w:after="80"/>
      </w:pPr>
    </w:p>
    <w:p>
      <w:pPr>
        <w:spacing w:after="400"/>
      </w:pPr>
    </w:p>
    <w:p>
      <w:pPr>
        <w:jc w:val="right"/>
      </w:pPr>
      <w:r>
        <w:rPr>
          <w:rFonts w:ascii="Quicksand" w:hAnsi="Quicksand" w:cs="Quicksand" w:eastAsia="Noto Sans TC"/>
          <w:color w:val="6F6F6F"/>
          <w:sz w:val="18"/>
        </w:rPr>
        <w:t>Source: Guide to Using AI in Teaching; Education Bureau Circular No. 156/2026; the primary Information and Innovation Technology curriculum framework (trial version), AI component.</w:t>
      </w:r>
    </w:p>
    <w:p>
      <w:pPr>
        <w:sectPr>
          <w:pgSz w:w="16838" w:h="23811"/>
          <w:pgMar w:top="850" w:right="850" w:bottom="850" w:left="850" w:header="720" w:footer="720" w:gutter="0"/>
          <w:cols w:space="720"/>
          <w:docGrid w:linePitch="360"/>
        </w:sectPr>
      </w:pPr>
    </w:p>
    <w:p>
      <w:r>
        <w:rPr>
          <w:rFonts w:ascii="Quicksand" w:hAnsi="Quicksand" w:cs="Quicksand" w:eastAsia="Noto Sans TC"/>
          <w:b/>
          <w:color w:val="6F6F6F"/>
          <w:sz w:val="24"/>
        </w:rPr>
        <w:t>Poster 2</w:t>
      </w:r>
    </w:p>
    <w:p>
      <w:r>
        <w:rPr>
          <w:rFonts w:ascii="Quicksand" w:hAnsi="Quicksand" w:cs="Quicksand" w:eastAsia="Noto Sans TC"/>
          <w:b/>
          <w:color w:val="080808"/>
          <w:sz w:val="80"/>
        </w:rPr>
        <w:t>You may · You may not</w:t>
      </w:r>
    </w:p>
    <w:p>
      <w:pPr>
        <w:spacing w:after="80"/>
      </w:pPr>
    </w:p>
    <w:tbl>
      <w:tblPr>
        <w:tblStyle w:val="TableGrid"/>
        <w:tblW w:type="auto" w:w="0"/>
        <w:jc w:val="left"/>
        <w:tblLook w:firstColumn="1" w:firstRow="1" w:lastColumn="0" w:lastRow="0" w:noHBand="0" w:noVBand="1" w:val="04A0"/>
      </w:tblPr>
      <w:tblGrid>
        <w:gridCol w:w="7370"/>
        <w:gridCol w:w="7370"/>
        <w:gridCol w:w="7370"/>
      </w:tblGrid>
      <w:tr>
        <w:tc>
          <w:tcPr>
            <w:tcW w:type="dxa" w:w="1928"/>
            <w:shd w:val="clear" w:fill="E10707"/>
          </w:tcPr>
          <w:p>
            <w:r/>
            <w:r>
              <w:rPr>
                <w:rFonts w:ascii="Quicksand" w:hAnsi="Quicksand" w:cs="Quicksand" w:eastAsia="Noto Sans TC"/>
                <w:b/>
                <w:color w:val="FFFFFF"/>
                <w:sz w:val="20"/>
              </w:rPr>
              <w:t>Rule</w:t>
            </w:r>
          </w:p>
        </w:tc>
        <w:tc>
          <w:tcPr>
            <w:tcW w:type="dxa" w:w="3855"/>
            <w:shd w:val="clear" w:fill="E10707"/>
          </w:tcPr>
          <w:p>
            <w:r/>
            <w:r>
              <w:rPr>
                <w:rFonts w:ascii="Quicksand" w:hAnsi="Quicksand" w:cs="Quicksand" w:eastAsia="Noto Sans TC"/>
                <w:b/>
                <w:color w:val="FFFFFF"/>
                <w:sz w:val="20"/>
              </w:rPr>
              <w:t>You may</w:t>
            </w:r>
          </w:p>
        </w:tc>
        <w:tc>
          <w:tcPr>
            <w:tcW w:type="dxa" w:w="3855"/>
            <w:shd w:val="clear" w:fill="E10707"/>
          </w:tcPr>
          <w:p>
            <w:r/>
            <w:r>
              <w:rPr>
                <w:rFonts w:ascii="Quicksand" w:hAnsi="Quicksand" w:cs="Quicksand" w:eastAsia="Noto Sans TC"/>
                <w:b/>
                <w:color w:val="FFFFFF"/>
                <w:sz w:val="20"/>
              </w:rPr>
              <w:t>You may not</w:t>
            </w:r>
          </w:p>
        </w:tc>
      </w:tr>
      <w:tr>
        <w:tc>
          <w:tcPr>
            <w:tcW w:type="dxa" w:w="1928"/>
          </w:tcPr>
          <w:p>
            <w:r/>
            <w:r>
              <w:rPr>
                <w:rFonts w:ascii="Quicksand" w:hAnsi="Quicksand" w:cs="Quicksand" w:eastAsia="Noto Sans TC"/>
                <w:sz w:val="20"/>
              </w:rPr>
              <w:t>Outsourcing of thinking</w:t>
            </w:r>
          </w:p>
        </w:tc>
        <w:tc>
          <w:tcPr>
            <w:tcW w:type="dxa" w:w="3855"/>
          </w:tcPr>
          <w:p>
            <w:r/>
            <w:r>
              <w:rPr>
                <w:rFonts w:ascii="Quicksand" w:hAnsi="Quicksand" w:cs="Quicksand" w:eastAsia="Noto Sans TC"/>
                <w:sz w:val="20"/>
              </w:rPr>
              <w:t>Write your own method first, then compare with the tool</w:t>
            </w:r>
          </w:p>
        </w:tc>
        <w:tc>
          <w:tcPr>
            <w:tcW w:type="dxa" w:w="3855"/>
          </w:tcPr>
          <w:p>
            <w:r/>
            <w:r>
              <w:rPr>
                <w:rFonts w:ascii="Quicksand" w:hAnsi="Quicksand" w:cs="Quicksand" w:eastAsia="Noto Sans TC"/>
                <w:sz w:val="20"/>
              </w:rPr>
              <w:t>Hand the whole question over and copy the result</w:t>
            </w:r>
          </w:p>
        </w:tc>
      </w:tr>
      <w:tr>
        <w:tc>
          <w:tcPr>
            <w:tcW w:type="dxa" w:w="1928"/>
          </w:tcPr>
          <w:p>
            <w:r/>
            <w:r>
              <w:rPr>
                <w:rFonts w:ascii="Quicksand" w:hAnsi="Quicksand" w:cs="Quicksand" w:eastAsia="Noto Sans TC"/>
                <w:sz w:val="20"/>
              </w:rPr>
              <w:t>Checking</w:t>
            </w:r>
          </w:p>
        </w:tc>
        <w:tc>
          <w:tcPr>
            <w:tcW w:type="dxa" w:w="3855"/>
          </w:tcPr>
          <w:p>
            <w:r/>
            <w:r>
              <w:rPr>
                <w:rFonts w:ascii="Quicksand" w:hAnsi="Quicksand" w:cs="Quicksand" w:eastAsia="Noto Sans TC"/>
                <w:sz w:val="20"/>
              </w:rPr>
              <w:t>Check against a second source, and stop when they differ</w:t>
            </w:r>
          </w:p>
        </w:tc>
        <w:tc>
          <w:tcPr>
            <w:tcW w:type="dxa" w:w="3855"/>
          </w:tcPr>
          <w:p>
            <w:r/>
            <w:r>
              <w:rPr>
                <w:rFonts w:ascii="Quicksand" w:hAnsi="Quicksand" w:cs="Quicksand" w:eastAsia="Noto Sans TC"/>
                <w:sz w:val="20"/>
              </w:rPr>
              <w:t>Treat the first answer as a fact</w:t>
            </w:r>
          </w:p>
        </w:tc>
      </w:tr>
      <w:tr>
        <w:tc>
          <w:tcPr>
            <w:tcW w:type="dxa" w:w="1928"/>
          </w:tcPr>
          <w:p>
            <w:r/>
            <w:r>
              <w:rPr>
                <w:rFonts w:ascii="Quicksand" w:hAnsi="Quicksand" w:cs="Quicksand" w:eastAsia="Noto Sans TC"/>
                <w:sz w:val="20"/>
              </w:rPr>
              <w:t>Academic integrity</w:t>
            </w:r>
          </w:p>
        </w:tc>
        <w:tc>
          <w:tcPr>
            <w:tcW w:type="dxa" w:w="3855"/>
          </w:tcPr>
          <w:p>
            <w:r/>
            <w:r>
              <w:rPr>
                <w:rFonts w:ascii="Quicksand" w:hAnsi="Quicksand" w:cs="Quicksand" w:eastAsia="Noto Sans TC"/>
                <w:sz w:val="20"/>
              </w:rPr>
              <w:t>Note which part used the tool, and what for</w:t>
            </w:r>
          </w:p>
        </w:tc>
        <w:tc>
          <w:tcPr>
            <w:tcW w:type="dxa" w:w="3855"/>
          </w:tcPr>
          <w:p>
            <w:r/>
            <w:r>
              <w:rPr>
                <w:rFonts w:ascii="Quicksand" w:hAnsi="Quicksand" w:cs="Quicksand" w:eastAsia="Noto Sans TC"/>
                <w:sz w:val="20"/>
              </w:rPr>
              <w:t>Hand the tool's words in as your own</w:t>
            </w:r>
          </w:p>
        </w:tc>
      </w:tr>
      <w:tr>
        <w:tc>
          <w:tcPr>
            <w:tcW w:type="dxa" w:w="1928"/>
          </w:tcPr>
          <w:p>
            <w:r/>
            <w:r>
              <w:rPr>
                <w:rFonts w:ascii="Quicksand" w:hAnsi="Quicksand" w:cs="Quicksand" w:eastAsia="Noto Sans TC"/>
                <w:sz w:val="20"/>
              </w:rPr>
              <w:t>Personal data</w:t>
            </w:r>
          </w:p>
        </w:tc>
        <w:tc>
          <w:tcPr>
            <w:tcW w:type="dxa" w:w="3855"/>
          </w:tcPr>
          <w:p>
            <w:r/>
            <w:r>
              <w:rPr>
                <w:rFonts w:ascii="Quicksand" w:hAnsi="Quicksand" w:cs="Quicksand" w:eastAsia="Noto Sans TC"/>
                <w:sz w:val="20"/>
              </w:rPr>
              <w:t>Turn names and photographs into codes, or delete them</w:t>
            </w:r>
          </w:p>
        </w:tc>
        <w:tc>
          <w:tcPr>
            <w:tcW w:type="dxa" w:w="3855"/>
          </w:tcPr>
          <w:p>
            <w:r/>
            <w:r>
              <w:rPr>
                <w:rFonts w:ascii="Quicksand" w:hAnsi="Quicksand" w:cs="Quicksand" w:eastAsia="Noto Sans TC"/>
                <w:sz w:val="20"/>
              </w:rPr>
              <w:t>Enter your own or a classmate's details</w:t>
            </w:r>
          </w:p>
        </w:tc>
      </w:tr>
      <w:tr>
        <w:tc>
          <w:tcPr>
            <w:tcW w:type="dxa" w:w="1928"/>
          </w:tcPr>
          <w:p>
            <w:r/>
            <w:r>
              <w:rPr>
                <w:rFonts w:ascii="Quicksand" w:hAnsi="Quicksand" w:cs="Quicksand" w:eastAsia="Noto Sans TC"/>
                <w:sz w:val="20"/>
              </w:rPr>
              <w:t>Copyright</w:t>
            </w:r>
          </w:p>
        </w:tc>
        <w:tc>
          <w:tcPr>
            <w:tcW w:type="dxa" w:w="3855"/>
          </w:tcPr>
          <w:p>
            <w:r/>
            <w:r>
              <w:rPr>
                <w:rFonts w:ascii="Quicksand" w:hAnsi="Quicksand" w:cs="Quicksand" w:eastAsia="Noto Sans TC"/>
                <w:sz w:val="20"/>
              </w:rPr>
              <w:t>Credit the source and the tool</w:t>
            </w:r>
          </w:p>
        </w:tc>
        <w:tc>
          <w:tcPr>
            <w:tcW w:type="dxa" w:w="3855"/>
          </w:tcPr>
          <w:p>
            <w:r/>
            <w:r>
              <w:rPr>
                <w:rFonts w:ascii="Quicksand" w:hAnsi="Quicksand" w:cs="Quicksand" w:eastAsia="Noto Sans TC"/>
                <w:sz w:val="20"/>
              </w:rPr>
              <w:t>Present generated work as original</w:t>
            </w:r>
          </w:p>
        </w:tc>
      </w:tr>
      <w:tr>
        <w:tc>
          <w:tcPr>
            <w:tcW w:type="dxa" w:w="1928"/>
          </w:tcPr>
          <w:p>
            <w:r/>
            <w:r>
              <w:rPr>
                <w:rFonts w:ascii="Quicksand" w:hAnsi="Quicksand" w:cs="Quicksand" w:eastAsia="Noto Sans TC"/>
                <w:sz w:val="20"/>
              </w:rPr>
              <w:t>Over-use</w:t>
            </w:r>
          </w:p>
        </w:tc>
        <w:tc>
          <w:tcPr>
            <w:tcW w:type="dxa" w:w="3855"/>
          </w:tcPr>
          <w:p>
            <w:r/>
            <w:r>
              <w:rPr>
                <w:rFonts w:ascii="Quicksand" w:hAnsi="Quicksand" w:cs="Quicksand" w:eastAsia="Noto Sans TC"/>
                <w:sz w:val="20"/>
              </w:rPr>
              <w:t>Stop when the task is done and close the tool</w:t>
            </w:r>
          </w:p>
        </w:tc>
        <w:tc>
          <w:tcPr>
            <w:tcW w:type="dxa" w:w="3855"/>
          </w:tcPr>
          <w:p>
            <w:r/>
            <w:r>
              <w:rPr>
                <w:rFonts w:ascii="Quicksand" w:hAnsi="Quicksand" w:cs="Quicksand" w:eastAsia="Noto Sans TC"/>
                <w:sz w:val="20"/>
              </w:rPr>
              <w:t>Trade rest, sleep or time with people for it</w:t>
            </w:r>
          </w:p>
        </w:tc>
      </w:tr>
    </w:tbl>
    <w:p>
      <w:pPr>
        <w:spacing w:after="200"/>
      </w:pPr>
    </w:p>
    <w:p>
      <w:r>
        <w:rPr>
          <w:rFonts w:ascii="Quicksand" w:hAnsi="Quicksand" w:cs="Quicksand" w:eastAsia="Noto Sans TC"/>
          <w:b/>
          <w:color w:val="080808"/>
          <w:sz w:val="28"/>
        </w:rPr>
        <w:t>Our class addition (one only, written by the form teacher and the class monitor):</w:t>
      </w:r>
    </w:p>
    <w:p>
      <w:r>
        <w:rPr>
          <w:rFonts w:ascii="Quicksand" w:hAnsi="Quicksand" w:cs="Quicksand" w:eastAsia="Noto Sans TC"/>
          <w:b w:val="0"/>
          <w:color w:val="080808"/>
          <w:sz w:val="28"/>
        </w:rPr>
        <w:t>____________________________________</w:t>
      </w:r>
    </w:p>
    <w:p>
      <w:pPr>
        <w:spacing w:after="280"/>
      </w:pPr>
    </w:p>
    <w:p>
      <w:pPr>
        <w:jc w:val="right"/>
      </w:pPr>
      <w:r>
        <w:rPr>
          <w:rFonts w:ascii="Quicksand" w:hAnsi="Quicksand" w:cs="Quicksand" w:eastAsia="Noto Sans TC"/>
          <w:color w:val="6F6F6F"/>
          <w:sz w:val="18"/>
        </w:rPr>
        <w:t>Source: Guide to Using AI in Teaching; Education Bureau Circular No. 156/2026; the primary Information and Innovation Technology curriculum framework (trial version), AI component.</w:t>
      </w:r>
    </w:p>
    <w:p>
      <w:pPr>
        <w:sectPr>
          <w:pgSz w:w="23811" w:h="16838" w:orient="landscape"/>
          <w:pgMar w:top="850" w:right="850" w:bottom="850" w:left="850" w:header="720" w:footer="720" w:gutter="0"/>
          <w:cols w:space="720"/>
          <w:docGrid w:linePitch="360"/>
        </w:sectPr>
      </w:pPr>
    </w:p>
    <w:p>
      <w:r>
        <w:rPr>
          <w:rFonts w:ascii="Quicksand" w:hAnsi="Quicksand" w:cs="Quicksand" w:eastAsia="Noto Sans TC"/>
          <w:b/>
          <w:color w:val="6F6F6F"/>
          <w:sz w:val="24"/>
        </w:rPr>
        <w:t>Poster 3</w:t>
      </w:r>
    </w:p>
    <w:p>
      <w:r>
        <w:rPr>
          <w:rFonts w:ascii="Quicksand" w:hAnsi="Quicksand" w:cs="Quicksand" w:eastAsia="Noto Sans TC"/>
          <w:b/>
          <w:color w:val="080808"/>
          <w:sz w:val="80"/>
        </w:rPr>
        <w:t>The three steps of checking</w:t>
      </w:r>
    </w:p>
    <w:p>
      <w:r>
        <w:rPr>
          <w:rFonts w:ascii="Quicksand" w:hAnsi="Quicksand" w:cs="Quicksand" w:eastAsia="Noto Sans TC"/>
          <w:b w:val="0"/>
          <w:color w:val="080808"/>
          <w:sz w:val="28"/>
        </w:rPr>
        <w:t>The tool is sometimes wrong. All three steps, then it goes into the work.</w:t>
      </w:r>
    </w:p>
    <w:p>
      <w:pPr>
        <w:spacing w:after="200"/>
      </w:pPr>
    </w:p>
    <w:p>
      <w:r>
        <w:rPr>
          <w:rFonts w:ascii="Quicksand" w:hAnsi="Quicksand" w:cs="Quicksand" w:eastAsia="Noto Sans TC"/>
          <w:b/>
          <w:color w:val="E10707"/>
          <w:sz w:val="32"/>
        </w:rPr>
        <w:t>Step 1</w:t>
      </w:r>
    </w:p>
    <w:p>
      <w:r>
        <w:rPr>
          <w:rFonts w:ascii="Quicksand" w:hAnsi="Quicksand" w:cs="Quicksand" w:eastAsia="Noto Sans TC"/>
          <w:b/>
          <w:color w:val="080808"/>
          <w:sz w:val="52"/>
        </w:rPr>
        <w:t>Where does this claim come from?</w:t>
      </w:r>
    </w:p>
    <w:p>
      <w:r>
        <w:rPr>
          <w:rFonts w:ascii="Quicksand" w:hAnsi="Quicksand" w:cs="Quicksand" w:eastAsia="Noto Sans TC"/>
          <w:b w:val="0"/>
          <w:color w:val="080808"/>
          <w:sz w:val="32"/>
        </w:rPr>
        <w:t>Find the source: which page of the textbook, which official website, who said it.</w:t>
      </w:r>
    </w:p>
    <w:p>
      <w:pPr>
        <w:spacing w:after="240"/>
      </w:pPr>
    </w:p>
    <w:p>
      <w:r>
        <w:rPr>
          <w:rFonts w:ascii="Quicksand" w:hAnsi="Quicksand" w:cs="Quicksand" w:eastAsia="Noto Sans TC"/>
          <w:b/>
          <w:color w:val="E10707"/>
          <w:sz w:val="32"/>
        </w:rPr>
        <w:t>Step 2</w:t>
      </w:r>
    </w:p>
    <w:p>
      <w:r>
        <w:rPr>
          <w:rFonts w:ascii="Quicksand" w:hAnsi="Quicksand" w:cs="Quicksand" w:eastAsia="Noto Sans TC"/>
          <w:b/>
          <w:color w:val="080808"/>
          <w:sz w:val="52"/>
        </w:rPr>
        <w:t>Is there a second source?</w:t>
      </w:r>
    </w:p>
    <w:p>
      <w:r>
        <w:rPr>
          <w:rFonts w:ascii="Quicksand" w:hAnsi="Quicksand" w:cs="Quicksand" w:eastAsia="Noto Sans TC"/>
          <w:b w:val="0"/>
          <w:color w:val="080808"/>
          <w:sz w:val="32"/>
        </w:rPr>
        <w:t>Find one that did not come from the same tool, and compare once.</w:t>
      </w:r>
    </w:p>
    <w:p>
      <w:pPr>
        <w:spacing w:after="240"/>
      </w:pPr>
    </w:p>
    <w:p>
      <w:r>
        <w:rPr>
          <w:rFonts w:ascii="Quicksand" w:hAnsi="Quicksand" w:cs="Quicksand" w:eastAsia="Noto Sans TC"/>
          <w:b/>
          <w:color w:val="E10707"/>
          <w:sz w:val="32"/>
        </w:rPr>
        <w:t>Step 3</w:t>
      </w:r>
    </w:p>
    <w:p>
      <w:r>
        <w:rPr>
          <w:rFonts w:ascii="Quicksand" w:hAnsi="Quicksand" w:cs="Quicksand" w:eastAsia="Noto Sans TC"/>
          <w:b/>
          <w:color w:val="080808"/>
          <w:sz w:val="52"/>
        </w:rPr>
        <w:t>Where do the two differ?</w:t>
      </w:r>
    </w:p>
    <w:p>
      <w:r>
        <w:rPr>
          <w:rFonts w:ascii="Quicksand" w:hAnsi="Quicksand" w:cs="Quicksand" w:eastAsia="Noto Sans TC"/>
          <w:b w:val="0"/>
          <w:color w:val="080808"/>
          <w:sz w:val="32"/>
        </w:rPr>
        <w:t>Write down the difference; if you cannot tell which is right, ask the teacher.</w:t>
      </w:r>
    </w:p>
    <w:p>
      <w:pPr>
        <w:spacing w:after="240"/>
      </w:pPr>
    </w:p>
    <w:tbl>
      <w:tblPr>
        <w:tblW w:type="auto" w:w="0"/>
        <w:tblLook w:firstColumn="1" w:firstRow="1" w:lastColumn="0" w:lastRow="0" w:noHBand="0" w:noVBand="1" w:val="04A0"/>
      </w:tblPr>
      <w:tblGrid>
        <w:gridCol w:w="15138"/>
      </w:tblGrid>
      <w:tr>
        <w:tc>
          <w:tcPr>
            <w:tcW w:type="dxa" w:w="15138"/>
            <w:shd w:val="clear" w:fill="FDEAEA"/>
          </w:tcPr>
          <w:p>
            <w:r/>
            <w:r>
              <w:rPr>
                <w:rFonts w:ascii="Quicksand" w:hAnsi="Quicksand" w:cs="Quicksand" w:eastAsia="Noto Sans TC"/>
                <w:color w:val="080808"/>
                <w:sz w:val="20"/>
              </w:rPr>
              <w:t>All three steps, then it goes into the work. Step 1 alone is not checking.</w:t>
            </w:r>
          </w:p>
        </w:tc>
      </w:tr>
    </w:tbl>
    <w:p>
      <w:pPr>
        <w:spacing w:after="400"/>
      </w:pPr>
    </w:p>
    <w:p>
      <w:pPr>
        <w:jc w:val="right"/>
      </w:pPr>
      <w:r>
        <w:rPr>
          <w:rFonts w:ascii="Quicksand" w:hAnsi="Quicksand" w:cs="Quicksand" w:eastAsia="Noto Sans TC"/>
          <w:color w:val="6F6F6F"/>
          <w:sz w:val="18"/>
        </w:rPr>
        <w:t>Source: Guide to Using AI in Teaching (principle 6); Education Bureau Circular No. 156/2026.</w:t>
      </w:r>
    </w:p>
    <w:p>
      <w:pPr>
        <w:sectPr>
          <w:pgSz w:w="16838" w:h="23811"/>
          <w:pgMar w:top="850" w:right="850" w:bottom="850" w:left="850" w:header="720" w:footer="720" w:gutter="0"/>
          <w:cols w:space="720"/>
          <w:docGrid w:linePitch="360"/>
        </w:sectPr>
      </w:pPr>
    </w:p>
    <w:p>
      <w:pPr>
        <w:spacing w:before="240" w:after="80"/>
      </w:pPr>
      <w:r>
        <w:rPr>
          <w:rFonts w:ascii="Quicksand" w:hAnsi="Quicksand" w:cs="Quicksand" w:eastAsia="Noto Sans TC"/>
          <w:b/>
          <w:color w:val="E10707"/>
          <w:sz w:val="32"/>
        </w:rPr>
        <w:t>Part 3  The 30-minute briefing</w:t>
      </w:r>
    </w:p>
    <w:p>
      <w:r>
        <w:rPr>
          <w:rFonts w:ascii="Quicksand" w:hAnsi="Quicksand" w:cs="Quicksand" w:eastAsia="Noto Sans TC"/>
          <w:b w:val="0"/>
          <w:color w:val="080808"/>
          <w:sz w:val="21"/>
        </w:rPr>
        <w:t>One form-teacher period, five parts. Materials: poster 1, poster 2, poster 3, the six cards.</w:t>
      </w:r>
    </w:p>
    <w:tbl>
      <w:tblPr>
        <w:tblStyle w:val="TableGrid"/>
        <w:tblW w:type="auto" w:w="0"/>
        <w:jc w:val="left"/>
        <w:tblLook w:firstColumn="1" w:firstRow="1" w:lastColumn="0" w:lastRow="0" w:noHBand="0" w:noVBand="1" w:val="04A0"/>
      </w:tblPr>
      <w:tblGrid>
        <w:gridCol w:w="3402"/>
        <w:gridCol w:w="3402"/>
        <w:gridCol w:w="3402"/>
      </w:tblGrid>
      <w:tr>
        <w:tc>
          <w:tcPr>
            <w:tcW w:type="dxa" w:w="1701"/>
            <w:shd w:val="clear" w:fill="E10707"/>
          </w:tcPr>
          <w:p>
            <w:r/>
            <w:r>
              <w:rPr>
                <w:rFonts w:ascii="Quicksand" w:hAnsi="Quicksand" w:cs="Quicksand" w:eastAsia="Noto Sans TC"/>
                <w:b/>
                <w:color w:val="FFFFFF"/>
                <w:sz w:val="20"/>
              </w:rPr>
              <w:t>Time</w:t>
            </w:r>
          </w:p>
        </w:tc>
        <w:tc>
          <w:tcPr>
            <w:tcW w:type="dxa" w:w="5669"/>
            <w:shd w:val="clear" w:fill="E10707"/>
          </w:tcPr>
          <w:p>
            <w:r/>
            <w:r>
              <w:rPr>
                <w:rFonts w:ascii="Quicksand" w:hAnsi="Quicksand" w:cs="Quicksand" w:eastAsia="Noto Sans TC"/>
                <w:b/>
                <w:color w:val="FFFFFF"/>
                <w:sz w:val="20"/>
              </w:rPr>
              <w:t>Content</w:t>
            </w:r>
          </w:p>
        </w:tc>
        <w:tc>
          <w:tcPr>
            <w:tcW w:type="dxa" w:w="2268"/>
            <w:shd w:val="clear" w:fill="E10707"/>
          </w:tcPr>
          <w:p>
            <w:r/>
            <w:r>
              <w:rPr>
                <w:rFonts w:ascii="Quicksand" w:hAnsi="Quicksand" w:cs="Quicksand" w:eastAsia="Noto Sans TC"/>
                <w:b/>
                <w:color w:val="FFFFFF"/>
                <w:sz w:val="20"/>
              </w:rPr>
              <w:t>Materials</w:t>
            </w:r>
          </w:p>
        </w:tc>
      </w:tr>
      <w:tr>
        <w:tc>
          <w:tcPr>
            <w:tcW w:type="dxa" w:w="1701"/>
          </w:tcPr>
          <w:p>
            <w:r/>
            <w:r>
              <w:rPr>
                <w:rFonts w:ascii="Quicksand" w:hAnsi="Quicksand" w:cs="Quicksand" w:eastAsia="Noto Sans TC"/>
                <w:sz w:val="20"/>
              </w:rPr>
              <w:t>0-5 min</w:t>
            </w:r>
          </w:p>
        </w:tc>
        <w:tc>
          <w:tcPr>
            <w:tcW w:type="dxa" w:w="5669"/>
          </w:tcPr>
          <w:p>
            <w:r/>
            <w:r>
              <w:rPr>
                <w:rFonts w:ascii="Quicksand" w:hAnsi="Quicksand" w:cs="Quicksand" w:eastAsia="Noto Sans TC"/>
                <w:sz w:val="20"/>
              </w:rPr>
              <w:t>Open without the rules: a situation the class meets tomorrow — "If the tool wrote this piece, who wrote it?" Take three or four answers and do not judge them</w:t>
            </w:r>
          </w:p>
        </w:tc>
        <w:tc>
          <w:tcPr>
            <w:tcW w:type="dxa" w:w="2268"/>
          </w:tcPr>
          <w:p>
            <w:r/>
            <w:r>
              <w:rPr>
                <w:rFonts w:ascii="Quicksand" w:hAnsi="Quicksand" w:cs="Quicksand" w:eastAsia="Noto Sans TC"/>
                <w:sz w:val="20"/>
              </w:rPr>
              <w:t>Board, or spoken</w:t>
            </w:r>
          </w:p>
        </w:tc>
      </w:tr>
      <w:tr>
        <w:tc>
          <w:tcPr>
            <w:tcW w:type="dxa" w:w="1701"/>
          </w:tcPr>
          <w:p>
            <w:r/>
            <w:r>
              <w:rPr>
                <w:rFonts w:ascii="Quicksand" w:hAnsi="Quicksand" w:cs="Quicksand" w:eastAsia="Noto Sans TC"/>
                <w:sz w:val="20"/>
              </w:rPr>
              <w:t>5-15 min</w:t>
            </w:r>
          </w:p>
        </w:tc>
        <w:tc>
          <w:tcPr>
            <w:tcW w:type="dxa" w:w="5669"/>
          </w:tcPr>
          <w:p>
            <w:r/>
            <w:r>
              <w:rPr>
                <w:rFonts w:ascii="Quicksand" w:hAnsi="Quicksand" w:cs="Quicksand" w:eastAsia="Noto Sans TC"/>
                <w:sz w:val="20"/>
              </w:rPr>
              <w:t>The six rules, 90 seconds each: one "you may", one "you may not", one situation this class has met. Do not read the poster aloud</w:t>
            </w:r>
          </w:p>
        </w:tc>
        <w:tc>
          <w:tcPr>
            <w:tcW w:type="dxa" w:w="2268"/>
          </w:tcPr>
          <w:p>
            <w:r/>
            <w:r>
              <w:rPr>
                <w:rFonts w:ascii="Quicksand" w:hAnsi="Quicksand" w:cs="Quicksand" w:eastAsia="Noto Sans TC"/>
                <w:sz w:val="20"/>
              </w:rPr>
              <w:t>Poster 1</w:t>
            </w:r>
          </w:p>
        </w:tc>
      </w:tr>
      <w:tr>
        <w:tc>
          <w:tcPr>
            <w:tcW w:type="dxa" w:w="1701"/>
          </w:tcPr>
          <w:p>
            <w:r/>
            <w:r>
              <w:rPr>
                <w:rFonts w:ascii="Quicksand" w:hAnsi="Quicksand" w:cs="Quicksand" w:eastAsia="Noto Sans TC"/>
                <w:sz w:val="20"/>
              </w:rPr>
              <w:t>15-22 min</w:t>
            </w:r>
          </w:p>
        </w:tc>
        <w:tc>
          <w:tcPr>
            <w:tcW w:type="dxa" w:w="5669"/>
          </w:tcPr>
          <w:p>
            <w:r/>
            <w:r>
              <w:rPr>
                <w:rFonts w:ascii="Quicksand" w:hAnsi="Quicksand" w:cs="Quicksand" w:eastAsia="Noto Sans TC"/>
                <w:sz w:val="20"/>
              </w:rPr>
              <w:t>Demonstrate the three checking steps: ask the tool a question it gets wrong (a school rule, a year) and check it against the textbook or an official website</w:t>
            </w:r>
          </w:p>
        </w:tc>
        <w:tc>
          <w:tcPr>
            <w:tcW w:type="dxa" w:w="2268"/>
          </w:tcPr>
          <w:p>
            <w:r/>
            <w:r>
              <w:rPr>
                <w:rFonts w:ascii="Quicksand" w:hAnsi="Quicksand" w:cs="Quicksand" w:eastAsia="Noto Sans TC"/>
                <w:sz w:val="20"/>
              </w:rPr>
              <w:t>Poster 3; textbook</w:t>
            </w:r>
          </w:p>
        </w:tc>
      </w:tr>
      <w:tr>
        <w:tc>
          <w:tcPr>
            <w:tcW w:type="dxa" w:w="1701"/>
          </w:tcPr>
          <w:p>
            <w:r/>
            <w:r>
              <w:rPr>
                <w:rFonts w:ascii="Quicksand" w:hAnsi="Quicksand" w:cs="Quicksand" w:eastAsia="Noto Sans TC"/>
                <w:sz w:val="20"/>
              </w:rPr>
              <w:t>22-27 min</w:t>
            </w:r>
          </w:p>
        </w:tc>
        <w:tc>
          <w:tcPr>
            <w:tcW w:type="dxa" w:w="5669"/>
          </w:tcPr>
          <w:p>
            <w:r/>
            <w:r>
              <w:rPr>
                <w:rFonts w:ascii="Quicksand" w:hAnsi="Quicksand" w:cs="Quicksand" w:eastAsia="Noto Sans TC"/>
                <w:sz w:val="20"/>
              </w:rPr>
              <w:t>Scenario cards in groups: groups of four draw one card and have 30 seconds to say what they would do and which rule it rests on</w:t>
            </w:r>
          </w:p>
        </w:tc>
        <w:tc>
          <w:tcPr>
            <w:tcW w:type="dxa" w:w="2268"/>
          </w:tcPr>
          <w:p>
            <w:r/>
            <w:r>
              <w:rPr>
                <w:rFonts w:ascii="Quicksand" w:hAnsi="Quicksand" w:cs="Quicksand" w:eastAsia="Noto Sans TC"/>
                <w:sz w:val="20"/>
              </w:rPr>
              <w:t>The six cards</w:t>
            </w:r>
          </w:p>
        </w:tc>
      </w:tr>
      <w:tr>
        <w:tc>
          <w:tcPr>
            <w:tcW w:type="dxa" w:w="1701"/>
          </w:tcPr>
          <w:p>
            <w:r/>
            <w:r>
              <w:rPr>
                <w:rFonts w:ascii="Quicksand" w:hAnsi="Quicksand" w:cs="Quicksand" w:eastAsia="Noto Sans TC"/>
                <w:sz w:val="20"/>
              </w:rPr>
              <w:t>27-30 min</w:t>
            </w:r>
          </w:p>
        </w:tc>
        <w:tc>
          <w:tcPr>
            <w:tcW w:type="dxa" w:w="5669"/>
          </w:tcPr>
          <w:p>
            <w:r/>
            <w:r>
              <w:rPr>
                <w:rFonts w:ascii="Quicksand" w:hAnsi="Quicksand" w:cs="Quicksand" w:eastAsia="Noto Sans TC"/>
                <w:sz w:val="20"/>
              </w:rPr>
              <w:t>Close: hang poster 2, agree the class addition, and say that this lesson sets no penalties and a breach goes through existing arrangements</w:t>
            </w:r>
          </w:p>
        </w:tc>
        <w:tc>
          <w:tcPr>
            <w:tcW w:type="dxa" w:w="2268"/>
          </w:tcPr>
          <w:p>
            <w:r/>
            <w:r>
              <w:rPr>
                <w:rFonts w:ascii="Quicksand" w:hAnsi="Quicksand" w:cs="Quicksand" w:eastAsia="Noto Sans TC"/>
                <w:sz w:val="20"/>
              </w:rPr>
              <w:t>Poster 2</w:t>
            </w:r>
          </w:p>
        </w:tc>
      </w:tr>
    </w:tbl>
    <w:p>
      <w:pPr>
        <w:spacing w:after="120"/>
      </w:pPr>
    </w:p>
    <w:p>
      <w:r>
        <w:rPr>
          <w:rFonts w:ascii="Quicksand" w:hAnsi="Quicksand" w:cs="Quicksand" w:eastAsia="Noto Sans TC"/>
          <w:b/>
          <w:color w:val="080808"/>
          <w:sz w:val="26"/>
        </w:rPr>
        <w:t>What to say, part by part</w:t>
      </w:r>
    </w:p>
    <w:p>
      <w:r>
        <w:rPr>
          <w:rFonts w:ascii="Quicksand" w:hAnsi="Quicksand" w:cs="Quicksand" w:eastAsia="Noto Sans TC"/>
          <w:b/>
          <w:color w:val="080808"/>
          <w:sz w:val="22"/>
        </w:rPr>
        <w:t>0-5 min · Open</w:t>
      </w:r>
    </w:p>
    <w:p>
      <w:r>
        <w:rPr>
          <w:rFonts w:ascii="Quicksand" w:hAnsi="Quicksand" w:cs="Quicksand" w:eastAsia="Noto Sans TC"/>
          <w:b w:val="0"/>
          <w:color w:val="080808"/>
          <w:sz w:val="21"/>
        </w:rPr>
        <w:t>"No rules today, just one thing. Suppose tonight's composition is written for you in three minutes, better than you would write it. When you hand it in, who wrote it? What did you learn?" Take three or four answers, write them all up, judge none.</w:t>
      </w:r>
    </w:p>
    <w:p>
      <w:pPr>
        <w:spacing w:after="60"/>
      </w:pPr>
    </w:p>
    <w:p>
      <w:r>
        <w:rPr>
          <w:rFonts w:ascii="Quicksand" w:hAnsi="Quicksand" w:cs="Quicksand" w:eastAsia="Noto Sans TC"/>
          <w:b/>
          <w:color w:val="080808"/>
          <w:sz w:val="22"/>
        </w:rPr>
        <w:t>5-15 min · The six rules</w:t>
      </w:r>
    </w:p>
    <w:p>
      <w:r>
        <w:rPr>
          <w:rFonts w:ascii="Quicksand" w:hAnsi="Quicksand" w:cs="Quicksand" w:eastAsia="Noto Sans TC"/>
          <w:b w:val="0"/>
          <w:color w:val="080808"/>
          <w:sz w:val="21"/>
        </w:rPr>
        <w:t>"There are six rules, two sentences each: one you may, one you may not." Read poster 1 out, adding one situation this class has met. For rule 4: "Last week someone pasted the whole class list into a tool to ask for comments — that handed over other people's data."</w:t>
      </w:r>
    </w:p>
    <w:p>
      <w:pPr>
        <w:spacing w:after="60"/>
      </w:pPr>
    </w:p>
    <w:p>
      <w:r>
        <w:rPr>
          <w:rFonts w:ascii="Quicksand" w:hAnsi="Quicksand" w:cs="Quicksand" w:eastAsia="Noto Sans TC"/>
          <w:b/>
          <w:color w:val="080808"/>
          <w:sz w:val="22"/>
        </w:rPr>
        <w:t>15-22 min · The demonstration</w:t>
      </w:r>
    </w:p>
    <w:p>
      <w:r>
        <w:rPr>
          <w:rFonts w:ascii="Quicksand" w:hAnsi="Quicksand" w:cs="Quicksand" w:eastAsia="Noto Sans TC"/>
          <w:b w:val="0"/>
          <w:color w:val="080808"/>
          <w:sz w:val="21"/>
        </w:rPr>
        <w:t>"I am going to ask the tool one of our school rules." Read its answer out, then check the textbook or the official website. "It is wrong. Wrong about a school rule today, wrong about homework tomorrow. So step two is always a second source."</w:t>
      </w:r>
    </w:p>
    <w:p>
      <w:pPr>
        <w:spacing w:after="60"/>
      </w:pPr>
    </w:p>
    <w:p>
      <w:r>
        <w:rPr>
          <w:rFonts w:ascii="Quicksand" w:hAnsi="Quicksand" w:cs="Quicksand" w:eastAsia="Noto Sans TC"/>
          <w:b/>
          <w:color w:val="080808"/>
          <w:sz w:val="22"/>
        </w:rPr>
        <w:t>22-27 min · The cards</w:t>
      </w:r>
    </w:p>
    <w:p>
      <w:r>
        <w:rPr>
          <w:rFonts w:ascii="Quicksand" w:hAnsi="Quicksand" w:cs="Quicksand" w:eastAsia="Noto Sans TC"/>
          <w:b w:val="0"/>
          <w:color w:val="080808"/>
          <w:sz w:val="21"/>
        </w:rPr>
        <w:t>"Groups of four, one card. Thirty seconds: what would you do, which rule does it rest on. No writing, spoken." After each group, the teacher adds only: "That one is rule 3."</w:t>
      </w:r>
    </w:p>
    <w:p>
      <w:pPr>
        <w:spacing w:after="60"/>
      </w:pPr>
    </w:p>
    <w:p>
      <w:r>
        <w:rPr>
          <w:rFonts w:ascii="Quicksand" w:hAnsi="Quicksand" w:cs="Quicksand" w:eastAsia="Noto Sans TC"/>
          <w:b/>
          <w:color w:val="080808"/>
          <w:sz w:val="22"/>
        </w:rPr>
        <w:t>27-30 min · Close</w:t>
      </w:r>
    </w:p>
    <w:p>
      <w:r>
        <w:rPr>
          <w:rFonts w:ascii="Quicksand" w:hAnsi="Quicksand" w:cs="Quicksand" w:eastAsia="Noto Sans TC"/>
          <w:b w:val="0"/>
          <w:color w:val="080808"/>
          <w:sz w:val="21"/>
        </w:rPr>
        <w:t>"The six rules go on the wall, and we add one class practice." Write it with the class monitor, read it back. "This lesson sets no penalties. If someone does break a rule, it is handled the way the school already handles it — not by this poster."</w:t>
      </w:r>
    </w:p>
    <w:p>
      <w:pPr>
        <w:spacing w:after="60"/>
      </w:pPr>
    </w:p>
    <w:p>
      <w:r>
        <w:rPr>
          <w:rFonts w:ascii="Quicksand" w:hAnsi="Quicksand" w:cs="Quicksand" w:eastAsia="Noto Sans TC"/>
          <w:b/>
          <w:color w:val="080808"/>
          <w:sz w:val="26"/>
        </w:rPr>
        <w:t>Three things that go wrong</w:t>
      </w:r>
    </w:p>
    <w:p>
      <w:pPr>
        <w:pStyle w:val="ListBullet"/>
      </w:pPr>
      <w:r>
        <w:rPr>
          <w:rFonts w:ascii="Quicksand" w:hAnsi="Quicksand" w:cs="Quicksand" w:eastAsia="Noto Sans TC"/>
          <w:sz w:val="21"/>
        </w:rPr>
        <w:t>Adding content to 5-15 minutes: 90 seconds each is already tight, and the sixth rule is what gets dropped.</w:t>
      </w:r>
    </w:p>
    <w:p>
      <w:pPr>
        <w:pStyle w:val="ListBullet"/>
      </w:pPr>
      <w:r>
        <w:rPr>
          <w:rFonts w:ascii="Quicksand" w:hAnsi="Quicksand" w:cs="Quicksand" w:eastAsia="Noto Sans TC"/>
          <w:sz w:val="21"/>
        </w:rPr>
        <w:t>A demonstration that cannot fail: a question the tool answers badly teaches ten times more than one it answers well.</w:t>
      </w:r>
    </w:p>
    <w:p>
      <w:pPr>
        <w:pStyle w:val="ListBullet"/>
      </w:pPr>
      <w:r>
        <w:rPr>
          <w:rFonts w:ascii="Quicksand" w:hAnsi="Quicksand" w:cs="Quicksand" w:eastAsia="Noto Sans TC"/>
          <w:sz w:val="21"/>
        </w:rPr>
        <w:t>Closing on "the school will punish you": the code is not a penalty scheme; the close is about what this class will do.</w:t>
      </w:r>
    </w:p>
    <w:p>
      <w:r>
        <w:br w:type="page"/>
      </w:r>
    </w:p>
    <w:p>
      <w:pPr>
        <w:spacing w:before="240" w:after="80"/>
      </w:pPr>
      <w:r>
        <w:rPr>
          <w:rFonts w:ascii="Quicksand" w:hAnsi="Quicksand" w:cs="Quicksand" w:eastAsia="Noto Sans TC"/>
          <w:b/>
          <w:color w:val="E10707"/>
          <w:sz w:val="32"/>
        </w:rPr>
        <w:t>Part 4  The six scenario cards</w:t>
      </w:r>
    </w:p>
    <w:p>
      <w:r>
        <w:rPr>
          <w:rFonts w:ascii="Quicksand" w:hAnsi="Quicksand" w:cs="Quicksand" w:eastAsia="Noto Sans TC"/>
          <w:b w:val="0"/>
          <w:color w:val="080808"/>
          <w:sz w:val="21"/>
        </w:rPr>
        <w:t>Cut along the lines. The front carries the situation and three questions; the rule number is at the foot, read out after the discussion.</w:t>
      </w:r>
    </w:p>
    <w:p>
      <w:r>
        <w:rPr>
          <w:rFonts w:ascii="Quicksand" w:hAnsi="Quicksand" w:cs="Quicksand" w:eastAsia="Noto Sans TC"/>
          <w:b/>
          <w:color w:val="080808"/>
          <w:sz w:val="26"/>
        </w:rPr>
        <w:t>Card 1</w:t>
      </w:r>
    </w:p>
    <w:p>
      <w:r>
        <w:rPr>
          <w:rFonts w:ascii="Quicksand" w:hAnsi="Quicksand" w:cs="Quicksand" w:eastAsia="Noto Sans TC"/>
          <w:b w:val="0"/>
          <w:color w:val="080808"/>
          <w:sz w:val="22"/>
        </w:rPr>
        <w:t>Chinese composition: the tool offers an opening that flows better than yours, and you want to use it as it is.</w:t>
      </w:r>
    </w:p>
    <w:p>
      <w:r>
        <w:rPr>
          <w:rFonts w:ascii="Quicksand" w:hAnsi="Quicksand" w:cs="Quicksand" w:eastAsia="Noto Sans TC"/>
          <w:b w:val="0"/>
          <w:color w:val="080808"/>
          <w:sz w:val="21"/>
        </w:rPr>
        <w:t>① What would you do at this moment?  ② Which rule does it rest on?  ③ What do you note on the work afterwards?</w:t>
      </w:r>
    </w:p>
    <w:p>
      <w:pPr>
        <w:jc w:val="right"/>
      </w:pPr>
      <w:r>
        <w:rPr>
          <w:rFonts w:ascii="Quicksand" w:hAnsi="Quicksand" w:cs="Quicksand" w:eastAsia="Noto Sans TC"/>
          <w:color w:val="6F6F6F"/>
          <w:sz w:val="16"/>
        </w:rPr>
        <w:t>Rule: Rules 1 and 3 (read out after the discussion)</w:t>
      </w:r>
    </w:p>
    <w:p>
      <w:r>
        <w:rPr>
          <w:rFonts w:ascii="Quicksand" w:hAnsi="Quicksand" w:cs="Quicksand" w:eastAsia="Noto Sans TC"/>
          <w:b w:val="0"/>
          <w:color w:val="6F6F6F"/>
          <w:sz w:val="16"/>
        </w:rPr>
        <w:t>------------------------------</w:t>
      </w:r>
    </w:p>
    <w:p>
      <w:r>
        <w:rPr>
          <w:rFonts w:ascii="Quicksand" w:hAnsi="Quicksand" w:cs="Quicksand" w:eastAsia="Noto Sans TC"/>
          <w:b/>
          <w:color w:val="080808"/>
          <w:sz w:val="26"/>
        </w:rPr>
        <w:t>Card 2</w:t>
      </w:r>
    </w:p>
    <w:p>
      <w:r>
        <w:rPr>
          <w:rFonts w:ascii="Quicksand" w:hAnsi="Quicksand" w:cs="Quicksand" w:eastAsia="Noto Sans TC"/>
          <w:b w:val="0"/>
          <w:color w:val="080808"/>
          <w:sz w:val="22"/>
        </w:rPr>
        <w:t>Mathematics: the tool's working differs from your answer, but the teacher says your answer is right.</w:t>
      </w:r>
    </w:p>
    <w:p>
      <w:r>
        <w:rPr>
          <w:rFonts w:ascii="Quicksand" w:hAnsi="Quicksand" w:cs="Quicksand" w:eastAsia="Noto Sans TC"/>
          <w:b w:val="0"/>
          <w:color w:val="080808"/>
          <w:sz w:val="21"/>
        </w:rPr>
        <w:t>① What would you do at this moment?  ② Which rule does it rest on?  ③ What do you note on the work afterwards?</w:t>
      </w:r>
    </w:p>
    <w:p>
      <w:pPr>
        <w:jc w:val="right"/>
      </w:pPr>
      <w:r>
        <w:rPr>
          <w:rFonts w:ascii="Quicksand" w:hAnsi="Quicksand" w:cs="Quicksand" w:eastAsia="Noto Sans TC"/>
          <w:color w:val="6F6F6F"/>
          <w:sz w:val="16"/>
        </w:rPr>
        <w:t>Rule: Rule 2 (read out after the discussion)</w:t>
      </w:r>
    </w:p>
    <w:p>
      <w:r>
        <w:rPr>
          <w:rFonts w:ascii="Quicksand" w:hAnsi="Quicksand" w:cs="Quicksand" w:eastAsia="Noto Sans TC"/>
          <w:b w:val="0"/>
          <w:color w:val="6F6F6F"/>
          <w:sz w:val="16"/>
        </w:rPr>
        <w:t>------------------------------</w:t>
      </w:r>
    </w:p>
    <w:p>
      <w:r>
        <w:rPr>
          <w:rFonts w:ascii="Quicksand" w:hAnsi="Quicksand" w:cs="Quicksand" w:eastAsia="Noto Sans TC"/>
          <w:b/>
          <w:color w:val="080808"/>
          <w:sz w:val="26"/>
        </w:rPr>
        <w:t>Card 3</w:t>
      </w:r>
    </w:p>
    <w:p>
      <w:r>
        <w:rPr>
          <w:rFonts w:ascii="Quicksand" w:hAnsi="Quicksand" w:cs="Quicksand" w:eastAsia="Noto Sans TC"/>
          <w:b w:val="0"/>
          <w:color w:val="080808"/>
          <w:sz w:val="22"/>
        </w:rPr>
        <w:t>Visual arts: the wall display needs one illustration, and the tool makes one in a minute.</w:t>
      </w:r>
    </w:p>
    <w:p>
      <w:r>
        <w:rPr>
          <w:rFonts w:ascii="Quicksand" w:hAnsi="Quicksand" w:cs="Quicksand" w:eastAsia="Noto Sans TC"/>
          <w:b w:val="0"/>
          <w:color w:val="080808"/>
          <w:sz w:val="21"/>
        </w:rPr>
        <w:t>① What would you do at this moment?  ② Which rule does it rest on?  ③ What do you note on the work afterwards?</w:t>
      </w:r>
    </w:p>
    <w:p>
      <w:pPr>
        <w:jc w:val="right"/>
      </w:pPr>
      <w:r>
        <w:rPr>
          <w:rFonts w:ascii="Quicksand" w:hAnsi="Quicksand" w:cs="Quicksand" w:eastAsia="Noto Sans TC"/>
          <w:color w:val="6F6F6F"/>
          <w:sz w:val="16"/>
        </w:rPr>
        <w:t>Rule: Rules 3 and 5 (read out after the discussion)</w:t>
      </w:r>
    </w:p>
    <w:p>
      <w:r>
        <w:rPr>
          <w:rFonts w:ascii="Quicksand" w:hAnsi="Quicksand" w:cs="Quicksand" w:eastAsia="Noto Sans TC"/>
          <w:b w:val="0"/>
          <w:color w:val="6F6F6F"/>
          <w:sz w:val="16"/>
        </w:rPr>
        <w:t>------------------------------</w:t>
      </w:r>
    </w:p>
    <w:p>
      <w:r>
        <w:rPr>
          <w:rFonts w:ascii="Quicksand" w:hAnsi="Quicksand" w:cs="Quicksand" w:eastAsia="Noto Sans TC"/>
          <w:b/>
          <w:color w:val="080808"/>
          <w:sz w:val="26"/>
        </w:rPr>
        <w:t>Card 4</w:t>
      </w:r>
    </w:p>
    <w:p>
      <w:r>
        <w:rPr>
          <w:rFonts w:ascii="Quicksand" w:hAnsi="Quicksand" w:cs="Quicksand" w:eastAsia="Noto Sans TC"/>
          <w:b w:val="0"/>
          <w:color w:val="080808"/>
          <w:sz w:val="22"/>
        </w:rPr>
        <w:t>Form period: you want the tool to write an apology to a classmate, and the letter will name them.</w:t>
      </w:r>
    </w:p>
    <w:p>
      <w:r>
        <w:rPr>
          <w:rFonts w:ascii="Quicksand" w:hAnsi="Quicksand" w:cs="Quicksand" w:eastAsia="Noto Sans TC"/>
          <w:b w:val="0"/>
          <w:color w:val="080808"/>
          <w:sz w:val="21"/>
        </w:rPr>
        <w:t>① What would you do at this moment?  ② Which rule does it rest on?  ③ What do you note on the work afterwards?</w:t>
      </w:r>
    </w:p>
    <w:p>
      <w:pPr>
        <w:jc w:val="right"/>
      </w:pPr>
      <w:r>
        <w:rPr>
          <w:rFonts w:ascii="Quicksand" w:hAnsi="Quicksand" w:cs="Quicksand" w:eastAsia="Noto Sans TC"/>
          <w:color w:val="6F6F6F"/>
          <w:sz w:val="16"/>
        </w:rPr>
        <w:t>Rule: Rules 3, 4 and 5 (read out after the discussion)</w:t>
      </w:r>
    </w:p>
    <w:p>
      <w:r>
        <w:rPr>
          <w:rFonts w:ascii="Quicksand" w:hAnsi="Quicksand" w:cs="Quicksand" w:eastAsia="Noto Sans TC"/>
          <w:b w:val="0"/>
          <w:color w:val="6F6F6F"/>
          <w:sz w:val="16"/>
        </w:rPr>
        <w:t>------------------------------</w:t>
      </w:r>
    </w:p>
    <w:p>
      <w:r>
        <w:rPr>
          <w:rFonts w:ascii="Quicksand" w:hAnsi="Quicksand" w:cs="Quicksand" w:eastAsia="Noto Sans TC"/>
          <w:b/>
          <w:color w:val="080808"/>
          <w:sz w:val="26"/>
        </w:rPr>
        <w:t>Card 5</w:t>
      </w:r>
    </w:p>
    <w:p>
      <w:r>
        <w:rPr>
          <w:rFonts w:ascii="Quicksand" w:hAnsi="Quicksand" w:cs="Quicksand" w:eastAsia="Noto Sans TC"/>
          <w:b w:val="0"/>
          <w:color w:val="080808"/>
          <w:sz w:val="22"/>
        </w:rPr>
        <w:t>Science: your experiment's data differ from the "usual result" the tool gives.</w:t>
      </w:r>
    </w:p>
    <w:p>
      <w:r>
        <w:rPr>
          <w:rFonts w:ascii="Quicksand" w:hAnsi="Quicksand" w:cs="Quicksand" w:eastAsia="Noto Sans TC"/>
          <w:b w:val="0"/>
          <w:color w:val="080808"/>
          <w:sz w:val="21"/>
        </w:rPr>
        <w:t>① What would you do at this moment?  ② Which rule does it rest on?  ③ What do you note on the work afterwards?</w:t>
      </w:r>
    </w:p>
    <w:p>
      <w:pPr>
        <w:jc w:val="right"/>
      </w:pPr>
      <w:r>
        <w:rPr>
          <w:rFonts w:ascii="Quicksand" w:hAnsi="Quicksand" w:cs="Quicksand" w:eastAsia="Noto Sans TC"/>
          <w:color w:val="6F6F6F"/>
          <w:sz w:val="16"/>
        </w:rPr>
        <w:t>Rule: Rule 2 (read out after the discussion)</w:t>
      </w:r>
    </w:p>
    <w:p>
      <w:r>
        <w:rPr>
          <w:rFonts w:ascii="Quicksand" w:hAnsi="Quicksand" w:cs="Quicksand" w:eastAsia="Noto Sans TC"/>
          <w:b w:val="0"/>
          <w:color w:val="6F6F6F"/>
          <w:sz w:val="16"/>
        </w:rPr>
        <w:t>------------------------------</w:t>
      </w:r>
    </w:p>
    <w:p>
      <w:r>
        <w:rPr>
          <w:rFonts w:ascii="Quicksand" w:hAnsi="Quicksand" w:cs="Quicksand" w:eastAsia="Noto Sans TC"/>
          <w:b/>
          <w:color w:val="080808"/>
          <w:sz w:val="26"/>
        </w:rPr>
        <w:t>Card 6</w:t>
      </w:r>
    </w:p>
    <w:p>
      <w:r>
        <w:rPr>
          <w:rFonts w:ascii="Quicksand" w:hAnsi="Quicksand" w:cs="Quicksand" w:eastAsia="Noto Sans TC"/>
          <w:b w:val="0"/>
          <w:color w:val="080808"/>
          <w:sz w:val="22"/>
        </w:rPr>
        <w:t>11 p.m.: one question is still unfinished, and the tool can answer it at once.</w:t>
      </w:r>
    </w:p>
    <w:p>
      <w:r>
        <w:rPr>
          <w:rFonts w:ascii="Quicksand" w:hAnsi="Quicksand" w:cs="Quicksand" w:eastAsia="Noto Sans TC"/>
          <w:b w:val="0"/>
          <w:color w:val="080808"/>
          <w:sz w:val="21"/>
        </w:rPr>
        <w:t>① What would you do at this moment?  ② Which rule does it rest on?  ③ What do you note on the work afterwards?</w:t>
      </w:r>
    </w:p>
    <w:p>
      <w:pPr>
        <w:jc w:val="right"/>
      </w:pPr>
      <w:r>
        <w:rPr>
          <w:rFonts w:ascii="Quicksand" w:hAnsi="Quicksand" w:cs="Quicksand" w:eastAsia="Noto Sans TC"/>
          <w:color w:val="6F6F6F"/>
          <w:sz w:val="16"/>
        </w:rPr>
        <w:t>Rule: Rules 1 and 6 (read out after the discussion)</w:t>
      </w:r>
    </w:p>
    <w:p>
      <w:r>
        <w:rPr>
          <w:rFonts w:ascii="Quicksand" w:hAnsi="Quicksand" w:cs="Quicksand" w:eastAsia="Noto Sans TC"/>
          <w:b w:val="0"/>
          <w:color w:val="6F6F6F"/>
          <w:sz w:val="16"/>
        </w:rPr>
        <w:t>------------------------------</w:t>
      </w:r>
    </w:p>
    <w:sectPr w:rsidR="00FC693F" w:rsidRPr="0006063C" w:rsidSect="00034616">
      <w:pgSz w:w="11906" w:h="16838"/>
      <w:pgMar w:top="850" w:right="850" w:bottom="850" w:left="8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Quicksand" w:hAnsi="Quicksand" w:eastAsia="Noto Sans TC"/>
      <w:color w:val="080808"/>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