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rFonts w:ascii="Quicksand" w:hAnsi="Quicksand" w:cs="Quicksand" w:eastAsia="Noto Sans TC"/>
          <w:b/>
          <w:color w:val="080808"/>
          <w:sz w:val="44"/>
        </w:rPr>
        <w:t>Staff data-handling guide</w:t>
      </w:r>
    </w:p>
    <w:p>
      <w:r>
        <w:rPr>
          <w:rFonts w:ascii="Quicksand" w:hAnsi="Quicksand" w:cs="Quicksand" w:eastAsia="Noto Sans TC"/>
          <w:color w:val="6F6F6F"/>
          <w:sz w:val="24"/>
        </w:rPr>
        <w:t>What may and may not be put into an AI tool - P1-S6 School planning</w:t>
      </w:r>
    </w:p>
    <w:p>
      <w:r>
        <w:rPr>
          <w:rFonts w:ascii="Quicksand" w:hAnsi="Quicksand" w:cs="Quicksand" w:eastAsia="Noto Sans TC"/>
          <w:color w:val="E10707"/>
          <w:sz w:val="18"/>
        </w:rPr>
        <w:t>──────────────────────────────────────────────</w:t>
      </w:r>
    </w:p>
    <w:p>
      <w:r>
        <w:rPr>
          <w:rFonts w:ascii="Quicksand" w:hAnsi="Quicksand" w:cs="Quicksand" w:eastAsia="Noto Sans TC"/>
          <w:b/>
          <w:color w:val="080808"/>
          <w:sz w:val="21"/>
        </w:rPr>
        <w:t>This guide applies to every member of staff: teachers, teaching assistants, administrative colleagues, library and IT colleagues, and student teachers and supply teachers who use an AI tool for school work or pupil data. It is to be applied together with the school's own AI-use policy and its personal data rules.</w:t>
      </w:r>
    </w:p>
    <w:p>
      <w:pPr>
        <w:spacing w:before="240" w:after="80"/>
      </w:pPr>
      <w:r>
        <w:rPr>
          <w:rFonts w:ascii="Quicksand" w:hAnsi="Quicksand" w:cs="Quicksand" w:eastAsia="Noto Sans TC"/>
          <w:b/>
          <w:color w:val="E10707"/>
          <w:sz w:val="32"/>
        </w:rPr>
        <w:t>1. Scope</w:t>
      </w:r>
    </w:p>
    <w:p>
      <w:pPr>
        <w:pStyle w:val="ListBullet"/>
      </w:pPr>
      <w:r>
        <w:rPr>
          <w:rFonts w:ascii="Quicksand" w:hAnsi="Quicksand" w:cs="Quicksand" w:eastAsia="Noto Sans TC"/>
          <w:sz w:val="21"/>
        </w:rPr>
        <w:t>When using AI tools to collect and process students' learning data, schools must comply with the Personal Data (Privacy) Ordinance, the Copyright Ordinance, the relevant guidelines of law enforcement agencies (such as the Hong Kong School Network Security Guidelines) and the school's own rules.</w:t>
      </w:r>
    </w:p>
    <w:p>
      <w:pPr>
        <w:pStyle w:val="ListBullet"/>
      </w:pPr>
      <w:r>
        <w:rPr>
          <w:rFonts w:ascii="Quicksand" w:hAnsi="Quicksand" w:cs="Quicksand" w:eastAsia="Noto Sans TC"/>
          <w:sz w:val="21"/>
        </w:rPr>
        <w:t>This guide covers what may and may not be entered. Who approves a tool and who is responsible for it belong to the school's own AI-use policy and personal data rules.</w:t>
      </w:r>
    </w:p>
    <w:p>
      <w:pPr>
        <w:pStyle w:val="ListBullet"/>
      </w:pPr>
      <w:r>
        <w:rPr>
          <w:rFonts w:ascii="Quicksand" w:hAnsi="Quicksand" w:cs="Quicksand" w:eastAsia="Noto Sans TC"/>
          <w:sz w:val="21"/>
        </w:rPr>
        <w:t>This guide names no tool. The list of tools the school allows is written and kept up to date by the school, in part 4.</w:t>
      </w:r>
    </w:p>
    <w:p>
      <w:pPr>
        <w:pStyle w:val="ListBullet"/>
      </w:pPr>
      <w:r>
        <w:rPr>
          <w:rFonts w:ascii="Quicksand" w:hAnsi="Quicksand" w:cs="Quicksand" w:eastAsia="Noto Sans TC"/>
          <w:sz w:val="21"/>
        </w:rPr>
        <w:t>Every member of staff, including student and supply teachers, should hold a copy of this guide and have read it once before using an AI tool for school work for the first time.</w:t>
      </w:r>
    </w:p>
    <w:p>
      <w:pPr>
        <w:spacing w:before="240" w:after="80"/>
      </w:pPr>
      <w:r>
        <w:rPr>
          <w:rFonts w:ascii="Quicksand" w:hAnsi="Quicksand" w:cs="Quicksand" w:eastAsia="Noto Sans TC"/>
          <w:b/>
          <w:color w:val="E10707"/>
          <w:sz w:val="32"/>
        </w:rPr>
        <w:t>2. What may not be entered (the seven-item negative list)</w:t>
      </w:r>
    </w:p>
    <w:p>
      <w:r>
        <w:rPr>
          <w:rFonts w:ascii="Quicksand" w:hAnsi="Quicksand" w:cs="Quicksand" w:eastAsia="Noto Sans TC"/>
          <w:b w:val="0"/>
          <w:color w:val="080808"/>
          <w:sz w:val="21"/>
        </w:rPr>
        <w:t>None of the following seven may be entered. If you are not sure, treat it as not allowed and consult the school's management.</w:t>
      </w:r>
    </w:p>
    <w:p>
      <w:pPr>
        <w:pStyle w:val="ListBullet"/>
      </w:pPr>
      <w:r>
        <w:rPr>
          <w:rFonts w:ascii="Quicksand" w:hAnsi="Quicksand" w:cs="Quicksand" w:eastAsia="Noto Sans TC"/>
          <w:sz w:val="21"/>
        </w:rPr>
        <w:t>Anything that identifies a pupil: name, pupil number, class and seat number, photograph, voice, video, handwriting. If it lets someone work out which pupil it is, it does not go in.</w:t>
      </w:r>
    </w:p>
    <w:p>
      <w:pPr>
        <w:pStyle w:val="ListBullet"/>
      </w:pPr>
      <w:r>
        <w:rPr>
          <w:rFonts w:ascii="Quicksand" w:hAnsi="Quicksand" w:cs="Quicksand" w:eastAsia="Noto Sans TC"/>
          <w:sz w:val="21"/>
        </w:rPr>
        <w:t>A pupil's personal and family data: parents' names and contact details, home address, identity document numbers, health records, special educational needs, counselling records and individual learning plans.</w:t>
      </w:r>
    </w:p>
    <w:p>
      <w:pPr>
        <w:pStyle w:val="ListBullet"/>
      </w:pPr>
      <w:r>
        <w:rPr>
          <w:rFonts w:ascii="Quicksand" w:hAnsi="Quicksand" w:cs="Quicksand" w:eastAsia="Noto Sans TC"/>
          <w:sz w:val="21"/>
        </w:rPr>
        <w:t>A pupil's learning data and assessment records: marks, grades, comments, report cards, examination questions and model answers, internal tracking records.</w:t>
      </w:r>
    </w:p>
    <w:p>
      <w:pPr>
        <w:pStyle w:val="ListBullet"/>
      </w:pPr>
      <w:r>
        <w:rPr>
          <w:rFonts w:ascii="Quicksand" w:hAnsi="Quicksand" w:cs="Quicksand" w:eastAsia="Noto Sans TC"/>
          <w:sz w:val="21"/>
        </w:rPr>
        <w:t>Staff personnel data: personal files, appraisal records, pay, personnel correspondence, and any colleague's personal data.</w:t>
      </w:r>
    </w:p>
    <w:p>
      <w:pPr>
        <w:pStyle w:val="ListBullet"/>
      </w:pPr>
      <w:r>
        <w:rPr>
          <w:rFonts w:ascii="Quicksand" w:hAnsi="Quicksand" w:cs="Quicksand" w:eastAsia="Noto Sans TC"/>
          <w:sz w:val="21"/>
        </w:rPr>
        <w:t>Other people's material, music or images: without permission, do not upload someone else's article, photograph, recording, music or video, and do not hand it to a tool to rework. The copyright rule is: get permission before you upload.</w:t>
      </w:r>
    </w:p>
    <w:p>
      <w:pPr>
        <w:pStyle w:val="ListBullet"/>
      </w:pPr>
      <w:r>
        <w:rPr>
          <w:rFonts w:ascii="Quicksand" w:hAnsi="Quicksand" w:cs="Quicksand" w:eastAsia="Noto Sans TC"/>
          <w:sz w:val="21"/>
        </w:rPr>
        <w:t>Content that endangers national security, disrupts social order or tramples on moral standards: for example material promoting pornography, violence or unlawful acts, or deliberately created and spread false information. This may neither be entered nor generated with a tool.</w:t>
      </w:r>
    </w:p>
    <w:p>
      <w:pPr>
        <w:pStyle w:val="ListBullet"/>
      </w:pPr>
      <w:r>
        <w:rPr>
          <w:rFonts w:ascii="Quicksand" w:hAnsi="Quicksand" w:cs="Quicksand" w:eastAsia="Noto Sans TC"/>
          <w:sz w:val="21"/>
        </w:rPr>
        <w:t>Confidential and unpublished school material: unpublished examination questions, tenders and quotations, contracts, internal investigations and meeting records.</w:t>
      </w:r>
    </w:p>
    <w:p>
      <w:r>
        <w:rPr>
          <w:rFonts w:ascii="Quicksand" w:hAnsi="Quicksand" w:cs="Quicksand" w:eastAsia="Noto Sans TC"/>
          <w:b w:val="0"/>
          <w:color w:val="080808"/>
          <w:sz w:val="21"/>
        </w:rPr>
        <w:t>If the subject matter involves national security, sovereignty or territorial disputes, or incorrect values, it should be removed, and the school's management should be consulted.</w:t>
      </w:r>
    </w:p>
    <w:p>
      <w:pPr>
        <w:spacing w:before="240" w:after="80"/>
      </w:pPr>
      <w:r>
        <w:rPr>
          <w:rFonts w:ascii="Quicksand" w:hAnsi="Quicksand" w:cs="Quicksand" w:eastAsia="Noto Sans TC"/>
          <w:b/>
          <w:color w:val="E10707"/>
          <w:sz w:val="32"/>
        </w:rPr>
        <w:t>3. What may be entered, and how to handle it</w:t>
      </w:r>
    </w:p>
    <w:p>
      <w:r>
        <w:rPr>
          <w:rFonts w:ascii="Quicksand" w:hAnsi="Quicksand" w:cs="Quicksand" w:eastAsia="Noto Sans TC"/>
          <w:b w:val="0"/>
          <w:color w:val="080808"/>
          <w:sz w:val="21"/>
        </w:rPr>
        <w:t>Once it has been anonymised, this content is safe to enter:</w:t>
      </w:r>
    </w:p>
    <w:p>
      <w:pPr>
        <w:pStyle w:val="ListBullet"/>
      </w:pPr>
      <w:r>
        <w:rPr>
          <w:rFonts w:ascii="Quicksand" w:hAnsi="Quicksand" w:cs="Quicksand" w:eastAsia="Noto Sans TC"/>
          <w:sz w:val="21"/>
        </w:rPr>
        <w:t>A topic, theme or learning objective with no name attached, for example "upper primary mathematics: percentages in use".</w:t>
      </w:r>
    </w:p>
    <w:p>
      <w:pPr>
        <w:pStyle w:val="ListBullet"/>
      </w:pPr>
      <w:r>
        <w:rPr>
          <w:rFonts w:ascii="Quicksand" w:hAnsi="Quicksand" w:cs="Quicksand" w:eastAsia="Noto Sans TC"/>
          <w:sz w:val="21"/>
        </w:rPr>
        <w:t>Material that is already public: official curriculum documents, government statistics, published news reports.</w:t>
      </w:r>
    </w:p>
    <w:p>
      <w:pPr>
        <w:pStyle w:val="ListBullet"/>
      </w:pPr>
      <w:r>
        <w:rPr>
          <w:rFonts w:ascii="Quicksand" w:hAnsi="Quicksand" w:cs="Quicksand" w:eastAsia="Noto Sans TC"/>
          <w:sz w:val="21"/>
        </w:rPr>
        <w:t>Material the school owns the rights to, or that involves nobody else's rights: a chart you made, a paragraph you wrote, a photograph you took that shows no one else.</w:t>
      </w:r>
    </w:p>
    <w:p>
      <w:pPr>
        <w:pStyle w:val="ListBullet"/>
      </w:pPr>
      <w:r>
        <w:rPr>
          <w:rFonts w:ascii="Quicksand" w:hAnsi="Quicksand" w:cs="Quicksand" w:eastAsia="Noto Sans TC"/>
          <w:sz w:val="21"/>
        </w:rPr>
        <w:t>Subject-level teaching ideas: the flow of an activity, a set of questions, a first version of marking criteria.</w:t>
      </w:r>
    </w:p>
    <w:p>
      <w:pPr>
        <w:pStyle w:val="ListBullet"/>
      </w:pPr>
      <w:r>
        <w:rPr>
          <w:rFonts w:ascii="Quicksand" w:hAnsi="Quicksand" w:cs="Quicksand" w:eastAsia="Noto Sans TC"/>
          <w:sz w:val="21"/>
        </w:rPr>
        <w:t>A pupil's work or record after it has been anonymised.</w:t>
      </w:r>
    </w:p>
    <w:p>
      <w:r>
        <w:rPr>
          <w:rFonts w:ascii="Quicksand" w:hAnsi="Quicksand" w:cs="Quicksand" w:eastAsia="Noto Sans TC"/>
          <w:b/>
          <w:color w:val="080808"/>
          <w:sz w:val="21"/>
        </w:rPr>
        <w:t>How to anonymise:</w:t>
      </w:r>
    </w:p>
    <w:p>
      <w:pPr>
        <w:pStyle w:val="ListBullet"/>
      </w:pPr>
      <w:r>
        <w:rPr>
          <w:rFonts w:ascii="Quicksand" w:hAnsi="Quicksand" w:cs="Quicksand" w:eastAsia="Noto Sans TC"/>
          <w:sz w:val="21"/>
        </w:rPr>
        <w:t>Replace names and pupil numbers with codes. Use "S07" instead of a pupil's name, and a class code (such as "4A" or "P4A-G2") instead of the class and seat number.</w:t>
      </w:r>
    </w:p>
    <w:p>
      <w:pPr>
        <w:pStyle w:val="ListBullet"/>
      </w:pPr>
      <w:r>
        <w:rPr>
          <w:rFonts w:ascii="Quicksand" w:hAnsi="Quicksand" w:cs="Quicksand" w:eastAsia="Noto Sans TC"/>
          <w:sz w:val="21"/>
        </w:rPr>
        <w:t>Check the other identifying parts one by one. Faces, voices, handwriting, school uniform and classroom background in a photograph, recording or video can all identify a pupil. Keep the camera on the specific target, so that no more data is collected than is needed.</w:t>
      </w:r>
    </w:p>
    <w:p>
      <w:pPr>
        <w:pStyle w:val="ListBullet"/>
      </w:pPr>
      <w:r>
        <w:rPr>
          <w:rFonts w:ascii="Quicksand" w:hAnsi="Quicksand" w:cs="Quicksand" w:eastAsia="Noto Sans TC"/>
          <w:sz w:val="21"/>
        </w:rPr>
        <w:t>Enter only the smallest version that has been processed. Do not upload the whole document and then delete the names inside the tool.</w:t>
      </w:r>
    </w:p>
    <w:p>
      <w:pPr>
        <w:pStyle w:val="ListBullet"/>
      </w:pPr>
      <w:r>
        <w:rPr>
          <w:rFonts w:ascii="Quicksand" w:hAnsi="Quicksand" w:cs="Quicksand" w:eastAsia="Noto Sans TC"/>
          <w:sz w:val="21"/>
        </w:rPr>
        <w:t>Keep the code key at school. The list matching codes to real identities stays in the school's own system or on paper. It is never entered or uploaded with the material.</w:t>
      </w:r>
    </w:p>
    <w:p>
      <w:pPr>
        <w:pStyle w:val="ListBullet"/>
      </w:pPr>
      <w:r>
        <w:rPr>
          <w:rFonts w:ascii="Quicksand" w:hAnsi="Quicksand" w:cs="Quicksand" w:eastAsia="Noto Sans TC"/>
          <w:sz w:val="21"/>
        </w:rPr>
        <w:t>Deal with it when you have finished. Export what has to be kept to the school's own storage, and delete the conversation and file records as the school's rules require.</w:t>
      </w:r>
    </w:p>
    <w:tbl>
      <w:tblPr>
        <w:tblW w:type="auto" w:w="0"/>
        <w:tblLook w:firstColumn="1" w:firstRow="1" w:lastColumn="0" w:lastRow="0" w:noHBand="0" w:noVBand="1" w:val="04A0"/>
      </w:tblPr>
      <w:tblGrid>
        <w:gridCol w:w="9638"/>
      </w:tblGrid>
      <w:tr>
        <w:tc>
          <w:tcPr>
            <w:tcW w:type="dxa" w:w="9638"/>
            <w:shd w:val="clear" w:fill="FDEAEA"/>
          </w:tcPr>
          <w:p>
            <w:r/>
            <w:r>
              <w:rPr>
                <w:rFonts w:ascii="Quicksand" w:hAnsi="Quicksand" w:cs="Quicksand" w:eastAsia="Noto Sans TC"/>
                <w:color w:val="080808"/>
                <w:sz w:val="20"/>
              </w:rPr>
              <w:t>Where a teacher needs to upload students' work to an AI platform for marking, the parts that identify a student must be carefully removed first. When entering a prompt or uploading material, provide only anonymised data and never enter, upload or store a real name, pupil number or other personally identifying information.</w:t>
            </w:r>
          </w:p>
        </w:tc>
      </w:tr>
    </w:tbl>
    <w:p>
      <w:pPr>
        <w:spacing w:before="240" w:after="80"/>
      </w:pPr>
      <w:r>
        <w:rPr>
          <w:rFonts w:ascii="Quicksand" w:hAnsi="Quicksand" w:cs="Quicksand" w:eastAsia="Noto Sans TC"/>
          <w:b/>
          <w:color w:val="E10707"/>
          <w:sz w:val="32"/>
        </w:rPr>
        <w:t>4. School procedures (left blank for the school to fill in)</w:t>
      </w:r>
    </w:p>
    <w:p>
      <w:r>
        <w:rPr>
          <w:rFonts w:ascii="Quicksand" w:hAnsi="Quicksand" w:cs="Quicksand" w:eastAsia="Noto Sans TC"/>
          <w:b w:val="0"/>
          <w:color w:val="080808"/>
          <w:sz w:val="21"/>
        </w:rPr>
        <w:t>The school fills in these four items, each with an owner and a review cycle. None is left blank.</w:t>
      </w:r>
    </w:p>
    <w:tbl>
      <w:tblPr>
        <w:tblStyle w:val="TableGrid"/>
        <w:tblW w:type="auto" w:w="0"/>
        <w:jc w:val="left"/>
        <w:tblLook w:firstColumn="1" w:firstRow="1" w:lastColumn="0" w:lastRow="0" w:noHBand="0" w:noVBand="1" w:val="04A0"/>
      </w:tblPr>
      <w:tblGrid>
        <w:gridCol w:w="2409"/>
        <w:gridCol w:w="2409"/>
        <w:gridCol w:w="2409"/>
        <w:gridCol w:w="2409"/>
      </w:tblGrid>
      <w:tr>
        <w:tc>
          <w:tcPr>
            <w:tcW w:type="dxa" w:w="3213"/>
            <w:shd w:val="clear" w:fill="E10707"/>
          </w:tcPr>
          <w:p>
            <w:r/>
            <w:r>
              <w:rPr>
                <w:rFonts w:ascii="Quicksand" w:hAnsi="Quicksand" w:cs="Quicksand" w:eastAsia="Noto Sans TC"/>
                <w:b/>
                <w:color w:val="FFFFFF"/>
                <w:sz w:val="20"/>
              </w:rPr>
              <w:t>School procedure</w:t>
            </w:r>
          </w:p>
        </w:tc>
        <w:tc>
          <w:tcPr>
            <w:tcW w:type="dxa" w:w="3213"/>
            <w:shd w:val="clear" w:fill="E10707"/>
          </w:tcPr>
          <w:p>
            <w:r/>
            <w:r>
              <w:rPr>
                <w:rFonts w:ascii="Quicksand" w:hAnsi="Quicksand" w:cs="Quicksand" w:eastAsia="Noto Sans TC"/>
                <w:b/>
                <w:color w:val="FFFFFF"/>
                <w:sz w:val="20"/>
              </w:rPr>
              <w:t>Current arrangement</w:t>
            </w:r>
          </w:p>
        </w:tc>
        <w:tc>
          <w:tcPr>
            <w:tcW w:type="dxa" w:w="1606"/>
            <w:shd w:val="clear" w:fill="E10707"/>
          </w:tcPr>
          <w:p>
            <w:r/>
            <w:r>
              <w:rPr>
                <w:rFonts w:ascii="Quicksand" w:hAnsi="Quicksand" w:cs="Quicksand" w:eastAsia="Noto Sans TC"/>
                <w:b/>
                <w:color w:val="FFFFFF"/>
                <w:sz w:val="20"/>
              </w:rPr>
              <w:t>Owner</w:t>
            </w:r>
          </w:p>
        </w:tc>
        <w:tc>
          <w:tcPr>
            <w:tcW w:type="dxa" w:w="1606"/>
            <w:shd w:val="clear" w:fill="E10707"/>
          </w:tcPr>
          <w:p>
            <w:r/>
            <w:r>
              <w:rPr>
                <w:rFonts w:ascii="Quicksand" w:hAnsi="Quicksand" w:cs="Quicksand" w:eastAsia="Noto Sans TC"/>
                <w:b/>
                <w:color w:val="FFFFFF"/>
                <w:sz w:val="20"/>
              </w:rPr>
              <w:t>Review cycle</w:t>
            </w:r>
          </w:p>
        </w:tc>
      </w:tr>
      <w:tr>
        <w:tc>
          <w:tcPr>
            <w:tcW w:type="dxa" w:w="3213"/>
          </w:tcPr>
          <w:p>
            <w:r/>
            <w:r>
              <w:rPr>
                <w:rFonts w:ascii="Quicksand" w:hAnsi="Quicksand" w:cs="Quicksand" w:eastAsia="Noto Sans TC"/>
                <w:sz w:val="20"/>
              </w:rPr>
              <w:t>Approved-tool list</w:t>
            </w:r>
          </w:p>
        </w:tc>
        <w:tc>
          <w:tcPr>
            <w:tcW w:type="dxa" w:w="3213"/>
          </w:tcPr>
          <w:p>
            <w:r/>
            <w:r>
              <w:rPr>
                <w:rFonts w:ascii="Quicksand" w:hAnsi="Quicksand" w:cs="Quicksand" w:eastAsia="Noto Sans TC"/>
                <w:sz w:val="20"/>
              </w:rPr>
            </w:r>
          </w:p>
        </w:tc>
        <w:tc>
          <w:tcPr>
            <w:tcW w:type="dxa" w:w="1606"/>
          </w:tcPr>
          <w:p>
            <w:r/>
            <w:r>
              <w:rPr>
                <w:rFonts w:ascii="Quicksand" w:hAnsi="Quicksand" w:cs="Quicksand" w:eastAsia="Noto Sans TC"/>
                <w:sz w:val="20"/>
              </w:rPr>
            </w:r>
          </w:p>
        </w:tc>
        <w:tc>
          <w:tcPr>
            <w:tcW w:type="dxa" w:w="1606"/>
          </w:tcPr>
          <w:p>
            <w:r/>
            <w:r>
              <w:rPr>
                <w:rFonts w:ascii="Quicksand" w:hAnsi="Quicksand" w:cs="Quicksand" w:eastAsia="Noto Sans TC"/>
                <w:sz w:val="20"/>
              </w:rPr>
            </w:r>
          </w:p>
        </w:tc>
      </w:tr>
      <w:tr>
        <w:tc>
          <w:tcPr>
            <w:tcW w:type="dxa" w:w="3213"/>
          </w:tcPr>
          <w:p>
            <w:r/>
            <w:r>
              <w:rPr>
                <w:rFonts w:ascii="Quicksand" w:hAnsi="Quicksand" w:cs="Quicksand" w:eastAsia="Noto Sans TC"/>
                <w:sz w:val="20"/>
              </w:rPr>
              <w:t>Approval route and its owner</w:t>
            </w:r>
          </w:p>
        </w:tc>
        <w:tc>
          <w:tcPr>
            <w:tcW w:type="dxa" w:w="3213"/>
          </w:tcPr>
          <w:p>
            <w:r/>
            <w:r>
              <w:rPr>
                <w:rFonts w:ascii="Quicksand" w:hAnsi="Quicksand" w:cs="Quicksand" w:eastAsia="Noto Sans TC"/>
                <w:sz w:val="20"/>
              </w:rPr>
            </w:r>
          </w:p>
        </w:tc>
        <w:tc>
          <w:tcPr>
            <w:tcW w:type="dxa" w:w="1606"/>
          </w:tcPr>
          <w:p>
            <w:r/>
            <w:r>
              <w:rPr>
                <w:rFonts w:ascii="Quicksand" w:hAnsi="Quicksand" w:cs="Quicksand" w:eastAsia="Noto Sans TC"/>
                <w:sz w:val="20"/>
              </w:rPr>
            </w:r>
          </w:p>
        </w:tc>
        <w:tc>
          <w:tcPr>
            <w:tcW w:type="dxa" w:w="1606"/>
          </w:tcPr>
          <w:p>
            <w:r/>
            <w:r>
              <w:rPr>
                <w:rFonts w:ascii="Quicksand" w:hAnsi="Quicksand" w:cs="Quicksand" w:eastAsia="Noto Sans TC"/>
                <w:sz w:val="20"/>
              </w:rPr>
            </w:r>
          </w:p>
        </w:tc>
      </w:tr>
      <w:tr>
        <w:tc>
          <w:tcPr>
            <w:tcW w:type="dxa" w:w="3213"/>
          </w:tcPr>
          <w:p>
            <w:r/>
            <w:r>
              <w:rPr>
                <w:rFonts w:ascii="Quicksand" w:hAnsi="Quicksand" w:cs="Quicksand" w:eastAsia="Noto Sans TC"/>
                <w:sz w:val="20"/>
              </w:rPr>
              <w:t>Incident handling and reporting</w:t>
            </w:r>
          </w:p>
        </w:tc>
        <w:tc>
          <w:tcPr>
            <w:tcW w:type="dxa" w:w="3213"/>
          </w:tcPr>
          <w:p>
            <w:r/>
            <w:r>
              <w:rPr>
                <w:rFonts w:ascii="Quicksand" w:hAnsi="Quicksand" w:cs="Quicksand" w:eastAsia="Noto Sans TC"/>
                <w:sz w:val="20"/>
              </w:rPr>
            </w:r>
          </w:p>
        </w:tc>
        <w:tc>
          <w:tcPr>
            <w:tcW w:type="dxa" w:w="1606"/>
          </w:tcPr>
          <w:p>
            <w:r/>
            <w:r>
              <w:rPr>
                <w:rFonts w:ascii="Quicksand" w:hAnsi="Quicksand" w:cs="Quicksand" w:eastAsia="Noto Sans TC"/>
                <w:sz w:val="20"/>
              </w:rPr>
            </w:r>
          </w:p>
        </w:tc>
        <w:tc>
          <w:tcPr>
            <w:tcW w:type="dxa" w:w="1606"/>
          </w:tcPr>
          <w:p>
            <w:r/>
            <w:r>
              <w:rPr>
                <w:rFonts w:ascii="Quicksand" w:hAnsi="Quicksand" w:cs="Quicksand" w:eastAsia="Noto Sans TC"/>
                <w:sz w:val="20"/>
              </w:rPr>
            </w:r>
          </w:p>
        </w:tc>
      </w:tr>
      <w:tr>
        <w:tc>
          <w:tcPr>
            <w:tcW w:type="dxa" w:w="3213"/>
          </w:tcPr>
          <w:p>
            <w:r/>
            <w:r>
              <w:rPr>
                <w:rFonts w:ascii="Quicksand" w:hAnsi="Quicksand" w:cs="Quicksand" w:eastAsia="Noto Sans TC"/>
                <w:sz w:val="20"/>
              </w:rPr>
              <w:t>Review cycle for tools' default privacy settings</w:t>
            </w:r>
          </w:p>
        </w:tc>
        <w:tc>
          <w:tcPr>
            <w:tcW w:type="dxa" w:w="3213"/>
          </w:tcPr>
          <w:p>
            <w:r/>
            <w:r>
              <w:rPr>
                <w:rFonts w:ascii="Quicksand" w:hAnsi="Quicksand" w:cs="Quicksand" w:eastAsia="Noto Sans TC"/>
                <w:sz w:val="20"/>
              </w:rPr>
            </w:r>
          </w:p>
        </w:tc>
        <w:tc>
          <w:tcPr>
            <w:tcW w:type="dxa" w:w="1606"/>
          </w:tcPr>
          <w:p>
            <w:r/>
            <w:r>
              <w:rPr>
                <w:rFonts w:ascii="Quicksand" w:hAnsi="Quicksand" w:cs="Quicksand" w:eastAsia="Noto Sans TC"/>
                <w:sz w:val="20"/>
              </w:rPr>
            </w:r>
          </w:p>
        </w:tc>
        <w:tc>
          <w:tcPr>
            <w:tcW w:type="dxa" w:w="1606"/>
          </w:tcPr>
          <w:p>
            <w:r/>
            <w:r>
              <w:rPr>
                <w:rFonts w:ascii="Quicksand" w:hAnsi="Quicksand" w:cs="Quicksand" w:eastAsia="Noto Sans TC"/>
                <w:sz w:val="20"/>
              </w:rPr>
            </w:r>
          </w:p>
        </w:tc>
      </w:tr>
    </w:tbl>
    <w:p>
      <w:r>
        <w:rPr>
          <w:rFonts w:ascii="Quicksand" w:hAnsi="Quicksand" w:cs="Quicksand" w:eastAsia="Noto Sans TC"/>
          <w:b w:val="0"/>
          <w:color w:val="080808"/>
          <w:sz w:val="21"/>
        </w:rPr>
        <w:t>Approved-tool list (filled in by the school. This guide names no tool.)</w:t>
      </w:r>
    </w:p>
    <w:tbl>
      <w:tblPr>
        <w:tblStyle w:val="TableGrid"/>
        <w:tblW w:type="auto" w:w="0"/>
        <w:jc w:val="left"/>
        <w:tblLook w:firstColumn="1" w:firstRow="1" w:lastColumn="0" w:lastRow="0" w:noHBand="0" w:noVBand="1" w:val="04A0"/>
      </w:tblPr>
      <w:tblGrid>
        <w:gridCol w:w="3213"/>
        <w:gridCol w:w="3213"/>
        <w:gridCol w:w="3213"/>
      </w:tblGrid>
      <w:tr>
        <w:tc>
          <w:tcPr>
            <w:tcW w:type="dxa" w:w="2891"/>
            <w:shd w:val="clear" w:fill="E10707"/>
          </w:tcPr>
          <w:p>
            <w:r/>
            <w:r>
              <w:rPr>
                <w:rFonts w:ascii="Quicksand" w:hAnsi="Quicksand" w:cs="Quicksand" w:eastAsia="Noto Sans TC"/>
                <w:b/>
                <w:color w:val="FFFFFF"/>
                <w:sz w:val="20"/>
              </w:rPr>
              <w:t>Approved tool</w:t>
            </w:r>
          </w:p>
        </w:tc>
        <w:tc>
          <w:tcPr>
            <w:tcW w:type="dxa" w:w="3855"/>
            <w:shd w:val="clear" w:fill="E10707"/>
          </w:tcPr>
          <w:p>
            <w:r/>
            <w:r>
              <w:rPr>
                <w:rFonts w:ascii="Quicksand" w:hAnsi="Quicksand" w:cs="Quicksand" w:eastAsia="Noto Sans TC"/>
                <w:b/>
                <w:color w:val="FFFFFF"/>
                <w:sz w:val="20"/>
              </w:rPr>
              <w:t>What it is for</w:t>
            </w:r>
          </w:p>
        </w:tc>
        <w:tc>
          <w:tcPr>
            <w:tcW w:type="dxa" w:w="2891"/>
            <w:shd w:val="clear" w:fill="E10707"/>
          </w:tcPr>
          <w:p>
            <w:r/>
            <w:r>
              <w:rPr>
                <w:rFonts w:ascii="Quicksand" w:hAnsi="Quicksand" w:cs="Quicksand" w:eastAsia="Noto Sans TC"/>
                <w:b/>
                <w:color w:val="FFFFFF"/>
                <w:sz w:val="20"/>
              </w:rPr>
              <w:t>Who manages the account</w:t>
            </w:r>
          </w:p>
        </w:tc>
      </w:tr>
      <w:tr>
        <w:tc>
          <w:tcPr>
            <w:tcW w:type="dxa" w:w="2891"/>
          </w:tcPr>
          <w:p>
            <w:r/>
            <w:r>
              <w:rPr>
                <w:rFonts w:ascii="Quicksand" w:hAnsi="Quicksand" w:cs="Quicksand" w:eastAsia="Noto Sans TC"/>
                <w:sz w:val="20"/>
              </w:rPr>
            </w:r>
          </w:p>
        </w:tc>
        <w:tc>
          <w:tcPr>
            <w:tcW w:type="dxa" w:w="3855"/>
          </w:tcPr>
          <w:p>
            <w:r/>
            <w:r>
              <w:rPr>
                <w:rFonts w:ascii="Quicksand" w:hAnsi="Quicksand" w:cs="Quicksand" w:eastAsia="Noto Sans TC"/>
                <w:sz w:val="20"/>
              </w:rPr>
            </w:r>
          </w:p>
        </w:tc>
        <w:tc>
          <w:tcPr>
            <w:tcW w:type="dxa" w:w="2891"/>
          </w:tcPr>
          <w:p>
            <w:r/>
            <w:r>
              <w:rPr>
                <w:rFonts w:ascii="Quicksand" w:hAnsi="Quicksand" w:cs="Quicksand" w:eastAsia="Noto Sans TC"/>
                <w:sz w:val="20"/>
              </w:rPr>
            </w:r>
          </w:p>
        </w:tc>
      </w:tr>
      <w:tr>
        <w:tc>
          <w:tcPr>
            <w:tcW w:type="dxa" w:w="2891"/>
          </w:tcPr>
          <w:p>
            <w:r/>
            <w:r>
              <w:rPr>
                <w:rFonts w:ascii="Quicksand" w:hAnsi="Quicksand" w:cs="Quicksand" w:eastAsia="Noto Sans TC"/>
                <w:sz w:val="20"/>
              </w:rPr>
            </w:r>
          </w:p>
        </w:tc>
        <w:tc>
          <w:tcPr>
            <w:tcW w:type="dxa" w:w="3855"/>
          </w:tcPr>
          <w:p>
            <w:r/>
            <w:r>
              <w:rPr>
                <w:rFonts w:ascii="Quicksand" w:hAnsi="Quicksand" w:cs="Quicksand" w:eastAsia="Noto Sans TC"/>
                <w:sz w:val="20"/>
              </w:rPr>
            </w:r>
          </w:p>
        </w:tc>
        <w:tc>
          <w:tcPr>
            <w:tcW w:type="dxa" w:w="2891"/>
          </w:tcPr>
          <w:p>
            <w:r/>
            <w:r>
              <w:rPr>
                <w:rFonts w:ascii="Quicksand" w:hAnsi="Quicksand" w:cs="Quicksand" w:eastAsia="Noto Sans TC"/>
                <w:sz w:val="20"/>
              </w:rPr>
            </w:r>
          </w:p>
        </w:tc>
      </w:tr>
      <w:tr>
        <w:tc>
          <w:tcPr>
            <w:tcW w:type="dxa" w:w="2891"/>
          </w:tcPr>
          <w:p>
            <w:r/>
            <w:r>
              <w:rPr>
                <w:rFonts w:ascii="Quicksand" w:hAnsi="Quicksand" w:cs="Quicksand" w:eastAsia="Noto Sans TC"/>
                <w:sz w:val="20"/>
              </w:rPr>
            </w:r>
          </w:p>
        </w:tc>
        <w:tc>
          <w:tcPr>
            <w:tcW w:type="dxa" w:w="3855"/>
          </w:tcPr>
          <w:p>
            <w:r/>
            <w:r>
              <w:rPr>
                <w:rFonts w:ascii="Quicksand" w:hAnsi="Quicksand" w:cs="Quicksand" w:eastAsia="Noto Sans TC"/>
                <w:sz w:val="20"/>
              </w:rPr>
            </w:r>
          </w:p>
        </w:tc>
        <w:tc>
          <w:tcPr>
            <w:tcW w:type="dxa" w:w="2891"/>
          </w:tcPr>
          <w:p>
            <w:r/>
            <w:r>
              <w:rPr>
                <w:rFonts w:ascii="Quicksand" w:hAnsi="Quicksand" w:cs="Quicksand" w:eastAsia="Noto Sans TC"/>
                <w:sz w:val="20"/>
              </w:rPr>
            </w:r>
          </w:p>
        </w:tc>
      </w:tr>
    </w:tbl>
    <w:p>
      <w:r>
        <w:rPr>
          <w:rFonts w:ascii="Quicksand" w:hAnsi="Quicksand" w:cs="Quicksand" w:eastAsia="Noto Sans TC"/>
          <w:b w:val="0"/>
          <w:color w:val="080808"/>
          <w:sz w:val="21"/>
        </w:rPr>
        <w:t>When filling in incident handling and reporting, answer two questions as well: what is the first step, and who is told?</w:t>
      </w:r>
    </w:p>
    <w:p>
      <w:r>
        <w:rPr>
          <w:rFonts w:ascii="Quicksand" w:hAnsi="Quicksand" w:cs="Quicksand" w:eastAsia="Noto Sans TC"/>
          <w:b w:val="0"/>
          <w:color w:val="080808"/>
          <w:sz w:val="21"/>
        </w:rPr>
        <w:t>學校名稱 School name: ____________________    日期 Date: ____________________</w:t>
      </w:r>
    </w:p>
    <w:p>
      <w:r>
        <w:br w:type="page"/>
      </w:r>
    </w:p>
    <w:p>
      <w:pPr>
        <w:spacing w:before="240" w:after="80"/>
      </w:pPr>
      <w:r>
        <w:rPr>
          <w:rFonts w:ascii="Quicksand" w:hAnsi="Quicksand" w:cs="Quicksand" w:eastAsia="Noto Sans TC"/>
          <w:b/>
          <w:color w:val="E10707"/>
          <w:sz w:val="32"/>
        </w:rPr>
        <w:t>5. One-page printable staff summary</w:t>
      </w:r>
    </w:p>
    <w:p>
      <w:r>
        <w:rPr>
          <w:rFonts w:ascii="Quicksand" w:hAnsi="Quicksand" w:cs="Quicksand" w:eastAsia="Noto Sans TC"/>
          <w:b/>
          <w:color w:val="080808"/>
          <w:sz w:val="21"/>
        </w:rPr>
        <w:t>This page can be copied on its own for the staff room, the photocopier or the computer room.</w:t>
      </w:r>
    </w:p>
    <w:p>
      <w:pPr>
        <w:spacing w:before="240" w:after="80"/>
      </w:pPr>
      <w:r>
        <w:rPr>
          <w:rFonts w:ascii="Quicksand" w:hAnsi="Quicksand" w:cs="Quicksand" w:eastAsia="Noto Sans TC"/>
          <w:b/>
          <w:color w:val="E10707"/>
          <w:sz w:val="28"/>
        </w:rPr>
        <w:t>Never enter (seven items)</w:t>
      </w:r>
    </w:p>
    <w:p>
      <w:pPr>
        <w:pStyle w:val="ListBullet"/>
      </w:pPr>
      <w:r>
        <w:rPr>
          <w:rFonts w:ascii="Quicksand" w:hAnsi="Quicksand" w:cs="Quicksand" w:eastAsia="Noto Sans TC"/>
          <w:sz w:val="21"/>
        </w:rPr>
        <w:t>Anything that identifies a pupil (name, pupil number, photograph, voice, video, handwriting)</w:t>
      </w:r>
    </w:p>
    <w:p>
      <w:pPr>
        <w:pStyle w:val="ListBullet"/>
      </w:pPr>
      <w:r>
        <w:rPr>
          <w:rFonts w:ascii="Quicksand" w:hAnsi="Quicksand" w:cs="Quicksand" w:eastAsia="Noto Sans TC"/>
          <w:sz w:val="21"/>
        </w:rPr>
        <w:t>A pupil's personal and family data (parents' contact details, home address, health and special educational needs records)</w:t>
      </w:r>
    </w:p>
    <w:p>
      <w:pPr>
        <w:pStyle w:val="ListBullet"/>
      </w:pPr>
      <w:r>
        <w:rPr>
          <w:rFonts w:ascii="Quicksand" w:hAnsi="Quicksand" w:cs="Quicksand" w:eastAsia="Noto Sans TC"/>
          <w:sz w:val="21"/>
        </w:rPr>
        <w:t>A pupil's learning data and assessment records (marks, comments, report cards, examination papers)</w:t>
      </w:r>
    </w:p>
    <w:p>
      <w:pPr>
        <w:pStyle w:val="ListBullet"/>
      </w:pPr>
      <w:r>
        <w:rPr>
          <w:rFonts w:ascii="Quicksand" w:hAnsi="Quicksand" w:cs="Quicksand" w:eastAsia="Noto Sans TC"/>
          <w:sz w:val="21"/>
        </w:rPr>
        <w:t>Staff personnel data</w:t>
      </w:r>
    </w:p>
    <w:p>
      <w:pPr>
        <w:pStyle w:val="ListBullet"/>
      </w:pPr>
      <w:r>
        <w:rPr>
          <w:rFonts w:ascii="Quicksand" w:hAnsi="Quicksand" w:cs="Quicksand" w:eastAsia="Noto Sans TC"/>
          <w:sz w:val="21"/>
        </w:rPr>
        <w:t>Other people's material, music or images (without permission)</w:t>
      </w:r>
    </w:p>
    <w:p>
      <w:pPr>
        <w:pStyle w:val="ListBullet"/>
      </w:pPr>
      <w:r>
        <w:rPr>
          <w:rFonts w:ascii="Quicksand" w:hAnsi="Quicksand" w:cs="Quicksand" w:eastAsia="Noto Sans TC"/>
          <w:sz w:val="21"/>
        </w:rPr>
        <w:t>Content that endangers national security, disrupts social order or tramples on moral standards</w:t>
      </w:r>
    </w:p>
    <w:p>
      <w:pPr>
        <w:pStyle w:val="ListBullet"/>
      </w:pPr>
      <w:r>
        <w:rPr>
          <w:rFonts w:ascii="Quicksand" w:hAnsi="Quicksand" w:cs="Quicksand" w:eastAsia="Noto Sans TC"/>
          <w:sz w:val="21"/>
        </w:rPr>
        <w:t>Confidential and unpublished school material</w:t>
      </w:r>
    </w:p>
    <w:p>
      <w:pPr>
        <w:spacing w:before="240" w:after="80"/>
      </w:pPr>
      <w:r>
        <w:rPr>
          <w:rFonts w:ascii="Quicksand" w:hAnsi="Quicksand" w:cs="Quicksand" w:eastAsia="Noto Sans TC"/>
          <w:b/>
          <w:color w:val="E10707"/>
          <w:sz w:val="28"/>
        </w:rPr>
        <w:t>Before anything is entered, three steps</w:t>
      </w:r>
    </w:p>
    <w:p>
      <w:pPr>
        <w:pStyle w:val="ListBullet"/>
      </w:pPr>
      <w:r>
        <w:rPr>
          <w:rFonts w:ascii="Quicksand" w:hAnsi="Quicksand" w:cs="Quicksand" w:eastAsia="Noto Sans TC"/>
          <w:sz w:val="21"/>
        </w:rPr>
        <w:t>Replace names and pupil numbers with codes and a class code.</w:t>
      </w:r>
    </w:p>
    <w:p>
      <w:pPr>
        <w:pStyle w:val="ListBullet"/>
      </w:pPr>
      <w:r>
        <w:rPr>
          <w:rFonts w:ascii="Quicksand" w:hAnsi="Quicksand" w:cs="Quicksand" w:eastAsia="Noto Sans TC"/>
          <w:sz w:val="21"/>
        </w:rPr>
        <w:t>Check the identifying parts one by one: photographs, voices, videos, handwriting.</w:t>
      </w:r>
    </w:p>
    <w:p>
      <w:pPr>
        <w:pStyle w:val="ListBullet"/>
      </w:pPr>
      <w:r>
        <w:rPr>
          <w:rFonts w:ascii="Quicksand" w:hAnsi="Quicksand" w:cs="Quicksand" w:eastAsia="Noto Sans TC"/>
          <w:sz w:val="21"/>
        </w:rPr>
        <w:t>Enter only the smallest processed version, and keep the code key at school.</w:t>
      </w:r>
    </w:p>
    <w:p>
      <w:pPr>
        <w:spacing w:before="240" w:after="80"/>
      </w:pPr>
      <w:r>
        <w:rPr>
          <w:rFonts w:ascii="Quicksand" w:hAnsi="Quicksand" w:cs="Quicksand" w:eastAsia="Noto Sans TC"/>
          <w:b/>
          <w:color w:val="E10707"/>
          <w:sz w:val="28"/>
        </w:rPr>
        <w:t>When something goes wrong</w:t>
      </w:r>
    </w:p>
    <w:p>
      <w:pPr>
        <w:pStyle w:val="ListBullet"/>
      </w:pPr>
      <w:r>
        <w:rPr>
          <w:rFonts w:ascii="Quicksand" w:hAnsi="Quicksand" w:cs="Quicksand" w:eastAsia="Noto Sans TC"/>
          <w:sz w:val="21"/>
        </w:rPr>
        <w:t>If identifying pupil data has been entered into a tool: stop at once and report it through the school's procedure (part 4).</w:t>
      </w:r>
    </w:p>
    <w:p>
      <w:pPr>
        <w:pStyle w:val="ListBullet"/>
      </w:pPr>
      <w:r>
        <w:rPr>
          <w:rFonts w:ascii="Quicksand" w:hAnsi="Quicksand" w:cs="Quicksand" w:eastAsia="Noto Sans TC"/>
          <w:sz w:val="21"/>
        </w:rPr>
        <w:t>If you are not sure whether something may be entered: treat it as not allowed, and ask the colleague responsible for personal data or the school's management.</w:t>
      </w:r>
    </w:p>
    <w:p>
      <w:pPr>
        <w:pStyle w:val="ListBullet"/>
      </w:pPr>
      <w:r>
        <w:rPr>
          <w:rFonts w:ascii="Quicksand" w:hAnsi="Quicksand" w:cs="Quicksand" w:eastAsia="Noto Sans TC"/>
          <w:sz w:val="21"/>
        </w:rPr>
        <w:t>If you want to use a tool that is not on the list: apply through the school's approval route.</w:t>
      </w:r>
    </w:p>
    <w:p>
      <w:r>
        <w:rPr>
          <w:rFonts w:ascii="Quicksand" w:hAnsi="Quicksand" w:cs="Quicksand" w:eastAsia="Noto Sans TC"/>
          <w:b w:val="0"/>
          <w:color w:val="080808"/>
          <w:sz w:val="21"/>
        </w:rPr>
        <w:t>School name: ____________________    Owner: ____________________    Date: ____________________</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Quicksand" w:hAnsi="Quicksand" w:eastAsia="Noto Sans TC"/>
      <w:color w:val="08080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