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School AI-use policy template (staff edition and student edition)</w:t>
      </w:r>
    </w:p>
    <w:p>
      <w:r>
        <w:rPr>
          <w:rFonts w:ascii="Quicksand" w:hAnsi="Quicksand" w:cs="Quicksand" w:eastAsia="Noto Sans TC"/>
          <w:color w:val="6F6F6F"/>
          <w:sz w:val="24"/>
        </w:rPr>
        <w:t>P1-S6 School planning - eleven sections - with a completed example</w:t>
      </w:r>
    </w:p>
    <w:p>
      <w:r>
        <w:rPr>
          <w:rFonts w:ascii="Quicksand" w:hAnsi="Quicksand" w:cs="Quicksand" w:eastAsia="Noto Sans TC"/>
          <w:color w:val="E10707"/>
          <w:sz w:val="18"/>
        </w:rPr>
        <w:t>──────────────────────────────────────────────</w:t>
      </w:r>
    </w:p>
    <w:tbl>
      <w:tblPr>
        <w:tblW w:type="auto" w:w="0"/>
        <w:tblLook w:firstColumn="1" w:firstRow="1" w:lastColumn="0" w:lastRow="0" w:noHBand="0" w:noVBand="1" w:val="04A0"/>
      </w:tblPr>
      <w:tblGrid>
        <w:gridCol w:w="9638"/>
      </w:tblGrid>
      <w:tr>
        <w:tc>
          <w:tcPr>
            <w:tcW w:type="dxa" w:w="9638"/>
            <w:shd w:val="clear" w:fill="FDEAEA"/>
          </w:tcPr>
          <w:p>
            <w:r/>
            <w:r>
              <w:rPr>
                <w:rFonts w:ascii="Quicksand" w:hAnsi="Quicksand" w:cs="Quicksand" w:eastAsia="Noto Sans TC"/>
                <w:color w:val="080808"/>
                <w:sz w:val="20"/>
              </w:rPr>
              <w:t>School name: ______________________    Version: _________    Owner: ______________________    Review date: ____________</w:t>
            </w:r>
          </w:p>
        </w:tc>
      </w:tr>
    </w:tbl>
    <w:p>
      <w:pPr>
        <w:spacing w:before="240" w:after="80"/>
      </w:pPr>
      <w:r>
        <w:rPr>
          <w:rFonts w:ascii="Quicksand" w:hAnsi="Quicksand" w:cs="Quicksand" w:eastAsia="Noto Sans TC"/>
          <w:b/>
          <w:color w:val="E10707"/>
          <w:sz w:val="28"/>
        </w:rPr>
        <w:t>Part 1 - staff edition</w:t>
      </w:r>
    </w:p>
    <w:p>
      <w:r>
        <w:rPr>
          <w:rFonts w:ascii="Quicksand" w:hAnsi="Quicksand" w:cs="Quicksand" w:eastAsia="Noto Sans TC"/>
          <w:b w:val="0"/>
          <w:color w:val="080808"/>
          <w:sz w:val="21"/>
        </w:rPr>
        <w:t>Eleven sections follow. Each one has fields to fill in; write the school's own answer.</w:t>
      </w:r>
    </w:p>
    <w:p>
      <w:pPr>
        <w:spacing w:before="240" w:after="80"/>
      </w:pPr>
      <w:r>
        <w:rPr>
          <w:rFonts w:ascii="Quicksand" w:hAnsi="Quicksand" w:cs="Quicksand" w:eastAsia="Noto Sans TC"/>
          <w:b/>
          <w:color w:val="080808"/>
          <w:sz w:val="24"/>
        </w:rPr>
        <w:t>1. Purpose and scope</w:t>
      </w:r>
    </w:p>
    <w:p>
      <w:r>
        <w:rPr>
          <w:rFonts w:ascii="Quicksand" w:hAnsi="Quicksand" w:cs="Quicksand" w:eastAsia="Noto Sans TC"/>
          <w:b w:val="0"/>
          <w:color w:val="080808"/>
          <w:sz w:val="21"/>
        </w:rPr>
        <w:t>Say who the policy applies to and in which settings. Also say how it relates to the school's existing documents, so two documents cannot take different positions on the same question.</w:t>
      </w:r>
    </w:p>
    <w:p>
      <w:pPr>
        <w:pStyle w:val="ListBullet"/>
      </w:pPr>
      <w:r>
        <w:rPr>
          <w:rFonts w:ascii="Quicksand" w:hAnsi="Quicksand" w:cs="Quicksand" w:eastAsia="Noto Sans TC"/>
          <w:sz w:val="21"/>
        </w:rPr>
        <w:t>Who it covers: [e.g. all staff, all students, and outside tutors working in the school's name]</w:t>
      </w:r>
    </w:p>
    <w:p>
      <w:pPr>
        <w:pStyle w:val="ListBullet"/>
      </w:pPr>
      <w:r>
        <w:rPr>
          <w:rFonts w:ascii="Quicksand" w:hAnsi="Quicksand" w:cs="Quicksand" w:eastAsia="Noto Sans TC"/>
          <w:sz w:val="21"/>
        </w:rPr>
        <w:t>Where it applies: [e.g. classrooms, extra-curricular activities, online lessons, and homework done at home]</w:t>
      </w:r>
    </w:p>
    <w:p>
      <w:pPr>
        <w:pStyle w:val="ListBullet"/>
      </w:pPr>
      <w:r>
        <w:rPr>
          <w:rFonts w:ascii="Quicksand" w:hAnsi="Quicksand" w:cs="Quicksand" w:eastAsia="Noto Sans TC"/>
          <w:sz w:val="21"/>
        </w:rPr>
        <w:t>Relationship to existing documents: [list the school documents to read alongside it, such as the personal information collection statement]</w:t>
      </w:r>
    </w:p>
    <w:p>
      <w:pPr>
        <w:spacing w:before="240" w:after="80"/>
      </w:pPr>
      <w:r>
        <w:rPr>
          <w:rFonts w:ascii="Quicksand" w:hAnsi="Quicksand" w:cs="Quicksand" w:eastAsia="Noto Sans TC"/>
          <w:b/>
          <w:color w:val="080808"/>
          <w:sz w:val="24"/>
        </w:rPr>
        <w:t>2. School-level rollout, accountability and the School Development Plan</w:t>
      </w:r>
    </w:p>
    <w:p>
      <w:r>
        <w:rPr>
          <w:rFonts w:ascii="Quicksand" w:hAnsi="Quicksand" w:cs="Quicksand" w:eastAsia="Noto Sans TC"/>
          <w:b w:val="0"/>
          <w:color w:val="080808"/>
          <w:sz w:val="21"/>
        </w:rPr>
        <w:t>Under the Education Bureau's planning requirement, a school must build digital education into its School Development Plan and/or Annual School Plan in the 2026/27 school year, and keep reviewing it through a plan-implement-evaluate cycle. This section names who leads it here, where the resources come from, and when the school is told.</w:t>
      </w:r>
    </w:p>
    <w:p>
      <w:pPr>
        <w:pStyle w:val="ListBullet"/>
      </w:pPr>
      <w:r>
        <w:rPr>
          <w:rFonts w:ascii="Quicksand" w:hAnsi="Quicksand" w:cs="Quicksand" w:eastAsia="Noto Sans TC"/>
          <w:sz w:val="21"/>
        </w:rPr>
        <w:t>Lead person and working group: [name or post]</w:t>
      </w:r>
    </w:p>
    <w:p>
      <w:pPr>
        <w:pStyle w:val="ListBullet"/>
      </w:pPr>
      <w:r>
        <w:rPr>
          <w:rFonts w:ascii="Quicksand" w:hAnsi="Quicksand" w:cs="Quicksand" w:eastAsia="Noto Sans TC"/>
          <w:sz w:val="21"/>
        </w:rPr>
        <w:t>Timetable: [milestones within the school year]</w:t>
      </w:r>
    </w:p>
    <w:p>
      <w:pPr>
        <w:pStyle w:val="ListBullet"/>
      </w:pPr>
      <w:r>
        <w:rPr>
          <w:rFonts w:ascii="Quicksand" w:hAnsi="Quicksand" w:cs="Quicksand" w:eastAsia="Noto Sans TC"/>
          <w:sz w:val="21"/>
        </w:rPr>
        <w:t>Reporting: [e.g. once a term to the staff meeting]</w:t>
      </w:r>
    </w:p>
    <w:p>
      <w:pPr>
        <w:pStyle w:val="ListBullet"/>
      </w:pPr>
      <w:r>
        <w:rPr>
          <w:rFonts w:ascii="Quicksand" w:hAnsi="Quicksand" w:cs="Quicksand" w:eastAsia="Noto Sans TC"/>
          <w:sz w:val="21"/>
        </w:rPr>
        <w:t>Resources needed: [time, training, devices]</w:t>
      </w:r>
    </w:p>
    <w:p>
      <w:pPr>
        <w:spacing w:before="240" w:after="80"/>
      </w:pPr>
      <w:r>
        <w:rPr>
          <w:rFonts w:ascii="Quicksand" w:hAnsi="Quicksand" w:cs="Quicksand" w:eastAsia="Noto Sans TC"/>
          <w:b/>
          <w:color w:val="080808"/>
          <w:sz w:val="24"/>
        </w:rPr>
        <w:t>3. Staff rules</w:t>
      </w:r>
    </w:p>
    <w:p>
      <w:r>
        <w:rPr>
          <w:rFonts w:ascii="Quicksand" w:hAnsi="Quicksand" w:cs="Quicksand" w:eastAsia="Noto Sans TC"/>
          <w:b w:val="0"/>
          <w:color w:val="080808"/>
          <w:sz w:val="21"/>
        </w:rPr>
        <w:t>Set out the principles for staff using AI, and the rules for handling learning data. The key point: student work or personal data must not be uploaded to any AI tool before the identifiable parts are removed.</w:t>
      </w:r>
    </w:p>
    <w:p>
      <w:pPr>
        <w:pStyle w:val="ListBullet"/>
      </w:pPr>
      <w:r>
        <w:rPr>
          <w:rFonts w:ascii="Quicksand" w:hAnsi="Quicksand" w:cs="Quicksand" w:eastAsia="Noto Sans TC"/>
          <w:sz w:val="21"/>
        </w:rPr>
        <w:t>Tools that may and may not be used: [per the school's approved list]</w:t>
      </w:r>
    </w:p>
    <w:p>
      <w:pPr>
        <w:pStyle w:val="ListBullet"/>
      </w:pPr>
      <w:r>
        <w:rPr>
          <w:rFonts w:ascii="Quicksand" w:hAnsi="Quicksand" w:cs="Quicksand" w:eastAsia="Noto Sans TC"/>
          <w:sz w:val="21"/>
        </w:rPr>
        <w:t>What must never be entered: [student names, class, marks, contact details]</w:t>
      </w:r>
    </w:p>
    <w:p>
      <w:pPr>
        <w:pStyle w:val="ListBullet"/>
      </w:pPr>
      <w:r>
        <w:rPr>
          <w:rFonts w:ascii="Quicksand" w:hAnsi="Quicksand" w:cs="Quicksand" w:eastAsia="Noto Sans TC"/>
          <w:sz w:val="21"/>
        </w:rPr>
        <w:t>Marking and feedback: [the de-identification steps]</w:t>
      </w:r>
    </w:p>
    <w:p>
      <w:pPr>
        <w:pStyle w:val="ListBullet"/>
      </w:pPr>
      <w:r>
        <w:rPr>
          <w:rFonts w:ascii="Quicksand" w:hAnsi="Quicksand" w:cs="Quicksand" w:eastAsia="Noto Sans TC"/>
          <w:sz w:val="21"/>
        </w:rPr>
        <w:t>What staff must tell students: [the role of AI in the task]</w:t>
      </w:r>
    </w:p>
    <w:p>
      <w:pPr>
        <w:spacing w:before="240" w:after="80"/>
      </w:pPr>
      <w:r>
        <w:rPr>
          <w:rFonts w:ascii="Quicksand" w:hAnsi="Quicksand" w:cs="Quicksand" w:eastAsia="Noto Sans TC"/>
          <w:b/>
          <w:color w:val="080808"/>
          <w:sz w:val="24"/>
        </w:rPr>
        <w:t>4. Student rules</w:t>
      </w:r>
    </w:p>
    <w:p>
      <w:r>
        <w:rPr>
          <w:rFonts w:ascii="Quicksand" w:hAnsi="Quicksand" w:cs="Quicksand" w:eastAsia="Noto Sans TC"/>
          <w:b w:val="0"/>
          <w:color w:val="080808"/>
          <w:sz w:val="21"/>
        </w:rPr>
        <w:t>Rewrite the rules as short sentences a pupil can read, for a form-teacher period or the student handbook. At a minimum: which work may and may not use AI, how using AI is declared, and what personal data must never be entered.</w:t>
      </w:r>
    </w:p>
    <w:p>
      <w:pPr>
        <w:pStyle w:val="ListBullet"/>
      </w:pPr>
      <w:r>
        <w:rPr>
          <w:rFonts w:ascii="Quicksand" w:hAnsi="Quicksand" w:cs="Quicksand" w:eastAsia="Noto Sans TC"/>
          <w:sz w:val="21"/>
        </w:rPr>
        <w:t>Where AI may be used: [e.g. background research, checking sentences]</w:t>
      </w:r>
    </w:p>
    <w:p>
      <w:pPr>
        <w:pStyle w:val="ListBullet"/>
      </w:pPr>
      <w:r>
        <w:rPr>
          <w:rFonts w:ascii="Quicksand" w:hAnsi="Quicksand" w:cs="Quicksand" w:eastAsia="Noto Sans TC"/>
          <w:sz w:val="21"/>
        </w:rPr>
        <w:t>Declaring use: [how and where]</w:t>
      </w:r>
    </w:p>
    <w:p>
      <w:pPr>
        <w:pStyle w:val="ListBullet"/>
      </w:pPr>
      <w:r>
        <w:rPr>
          <w:rFonts w:ascii="Quicksand" w:hAnsi="Quicksand" w:cs="Quicksand" w:eastAsia="Noto Sans TC"/>
          <w:sz w:val="21"/>
        </w:rPr>
        <w:t>What must never be entered: [own and others' personal data]</w:t>
      </w:r>
    </w:p>
    <w:p>
      <w:pPr>
        <w:pStyle w:val="ListBullet"/>
      </w:pPr>
      <w:r>
        <w:rPr>
          <w:rFonts w:ascii="Quicksand" w:hAnsi="Quicksand" w:cs="Quicksand" w:eastAsia="Noto Sans TC"/>
          <w:sz w:val="21"/>
        </w:rPr>
        <w:t>If it is misused: [the school's existing reward and sanction arrangements]</w:t>
      </w:r>
    </w:p>
    <w:p>
      <w:pPr>
        <w:spacing w:before="240" w:after="80"/>
      </w:pPr>
      <w:r>
        <w:rPr>
          <w:rFonts w:ascii="Quicksand" w:hAnsi="Quicksand" w:cs="Quicksand" w:eastAsia="Noto Sans TC"/>
          <w:b/>
          <w:color w:val="080808"/>
          <w:sz w:val="24"/>
        </w:rPr>
        <w:t>5. Personal data and privacy</w:t>
      </w:r>
    </w:p>
    <w:p>
      <w:r>
        <w:rPr>
          <w:rFonts w:ascii="Quicksand" w:hAnsi="Quicksand" w:cs="Quicksand" w:eastAsia="Noto Sans TC"/>
          <w:b w:val="0"/>
          <w:color w:val="080808"/>
          <w:sz w:val="21"/>
        </w:rPr>
        <w:t>Say how the school handles student and staff personal data, and how the use of AI tools meets personal data privacy requirements. Check this section alongside the school's existing personal information collection statement.</w:t>
      </w:r>
    </w:p>
    <w:p>
      <w:pPr>
        <w:pStyle w:val="ListBullet"/>
      </w:pPr>
      <w:r>
        <w:rPr>
          <w:rFonts w:ascii="Quicksand" w:hAnsi="Quicksand" w:cs="Quicksand" w:eastAsia="Noto Sans TC"/>
          <w:sz w:val="21"/>
        </w:rPr>
        <w:t>Purpose of collection and use: [consistent with the existing statement]</w:t>
      </w:r>
    </w:p>
    <w:p>
      <w:pPr>
        <w:pStyle w:val="ListBullet"/>
      </w:pPr>
      <w:r>
        <w:rPr>
          <w:rFonts w:ascii="Quicksand" w:hAnsi="Quicksand" w:cs="Quicksand" w:eastAsia="Noto Sans TC"/>
          <w:sz w:val="21"/>
        </w:rPr>
        <w:t>De-identification before upload: [who does it, how it is recorded]</w:t>
      </w:r>
    </w:p>
    <w:p>
      <w:pPr>
        <w:pStyle w:val="ListBullet"/>
      </w:pPr>
      <w:r>
        <w:rPr>
          <w:rFonts w:ascii="Quicksand" w:hAnsi="Quicksand" w:cs="Quicksand" w:eastAsia="Noto Sans TC"/>
          <w:sz w:val="21"/>
        </w:rPr>
        <w:t>Retention and access: [who may read it, for how long]</w:t>
      </w:r>
    </w:p>
    <w:p>
      <w:pPr>
        <w:pStyle w:val="ListBullet"/>
      </w:pPr>
      <w:r>
        <w:rPr>
          <w:rFonts w:ascii="Quicksand" w:hAnsi="Quicksand" w:cs="Quicksand" w:eastAsia="Noto Sans TC"/>
          <w:sz w:val="21"/>
        </w:rPr>
        <w:t>If data is exposed: [see section 9]</w:t>
      </w:r>
    </w:p>
    <w:p>
      <w:pPr>
        <w:spacing w:before="240" w:after="80"/>
      </w:pPr>
      <w:r>
        <w:rPr>
          <w:rFonts w:ascii="Quicksand" w:hAnsi="Quicksand" w:cs="Quicksand" w:eastAsia="Noto Sans TC"/>
          <w:b/>
          <w:color w:val="080808"/>
          <w:sz w:val="24"/>
        </w:rPr>
        <w:t>6. Academic integrity and assessment</w:t>
      </w:r>
    </w:p>
    <w:p>
      <w:r>
        <w:rPr>
          <w:rFonts w:ascii="Quicksand" w:hAnsi="Quicksand" w:cs="Quicksand" w:eastAsia="Noto Sans TC"/>
          <w:b w:val="0"/>
          <w:color w:val="080808"/>
          <w:sz w:val="21"/>
        </w:rPr>
        <w:t>State which work a student must do independently and which may use AI, and how teachers can design tasks so there is less incentive to lean on AI. Assess what a student can explain, not only the finished artefact.</w:t>
      </w:r>
    </w:p>
    <w:p>
      <w:pPr>
        <w:pStyle w:val="ListBullet"/>
      </w:pPr>
      <w:r>
        <w:rPr>
          <w:rFonts w:ascii="Quicksand" w:hAnsi="Quicksand" w:cs="Quicksand" w:eastAsia="Noto Sans TC"/>
          <w:sz w:val="21"/>
        </w:rPr>
        <w:t>Work that must be done independently: [e.g. in-class tests, timed writing]</w:t>
      </w:r>
    </w:p>
    <w:p>
      <w:pPr>
        <w:pStyle w:val="ListBullet"/>
      </w:pPr>
      <w:r>
        <w:rPr>
          <w:rFonts w:ascii="Quicksand" w:hAnsi="Quicksand" w:cs="Quicksand" w:eastAsia="Noto Sans TC"/>
          <w:sz w:val="21"/>
        </w:rPr>
        <w:t>Work that may use AI: [with the declaration method]</w:t>
      </w:r>
    </w:p>
    <w:p>
      <w:pPr>
        <w:pStyle w:val="ListBullet"/>
      </w:pPr>
      <w:r>
        <w:rPr>
          <w:rFonts w:ascii="Quicksand" w:hAnsi="Quicksand" w:cs="Quicksand" w:eastAsia="Noto Sans TC"/>
          <w:sz w:val="21"/>
        </w:rPr>
        <w:t>Adjusting assessment: [add an oral explanation or a process record]</w:t>
      </w:r>
    </w:p>
    <w:p>
      <w:pPr>
        <w:pStyle w:val="ListBullet"/>
      </w:pPr>
      <w:r>
        <w:rPr>
          <w:rFonts w:ascii="Quicksand" w:hAnsi="Quicksand" w:cs="Quicksand" w:eastAsia="Noto Sans TC"/>
          <w:sz w:val="21"/>
        </w:rPr>
        <w:t>Teacher questioning: [ask students to explain their thinking in class]</w:t>
      </w:r>
    </w:p>
    <w:p>
      <w:pPr>
        <w:spacing w:before="240" w:after="80"/>
      </w:pPr>
      <w:r>
        <w:rPr>
          <w:rFonts w:ascii="Quicksand" w:hAnsi="Quicksand" w:cs="Quicksand" w:eastAsia="Noto Sans TC"/>
          <w:b/>
          <w:color w:val="080808"/>
          <w:sz w:val="24"/>
        </w:rPr>
        <w:t>7. Intellectual property and citation</w:t>
      </w:r>
    </w:p>
    <w:p>
      <w:r>
        <w:rPr>
          <w:rFonts w:ascii="Quicksand" w:hAnsi="Quicksand" w:cs="Quicksand" w:eastAsia="Noto Sans TC"/>
          <w:b w:val="0"/>
          <w:color w:val="080808"/>
          <w:sz w:val="21"/>
        </w:rPr>
        <w:t>Explain the copyright considerations when AI-generated material is used, and how students and staff should credit sources. AI-generated material must not be submitted or published as original work.</w:t>
      </w:r>
    </w:p>
    <w:p>
      <w:pPr>
        <w:pStyle w:val="ListBullet"/>
      </w:pPr>
      <w:r>
        <w:rPr>
          <w:rFonts w:ascii="Quicksand" w:hAnsi="Quicksand" w:cs="Quicksand" w:eastAsia="Noto Sans TC"/>
          <w:sz w:val="21"/>
        </w:rPr>
        <w:t>Citation and credit format: [one format, for students and staff]</w:t>
      </w:r>
    </w:p>
    <w:p>
      <w:pPr>
        <w:pStyle w:val="ListBullet"/>
      </w:pPr>
      <w:r>
        <w:rPr>
          <w:rFonts w:ascii="Quicksand" w:hAnsi="Quicksand" w:cs="Quicksand" w:eastAsia="Noto Sans TC"/>
          <w:sz w:val="21"/>
        </w:rPr>
        <w:t>What must not be submitted: [AI output presented as original]</w:t>
      </w:r>
    </w:p>
    <w:p>
      <w:pPr>
        <w:pStyle w:val="ListBullet"/>
      </w:pPr>
      <w:r>
        <w:rPr>
          <w:rFonts w:ascii="Quicksand" w:hAnsi="Quicksand" w:cs="Quicksand" w:eastAsia="Noto Sans TC"/>
          <w:sz w:val="21"/>
        </w:rPr>
        <w:t>Making teaching materials: [images, text, music]</w:t>
      </w:r>
    </w:p>
    <w:p>
      <w:pPr>
        <w:spacing w:before="240" w:after="80"/>
      </w:pPr>
      <w:r>
        <w:rPr>
          <w:rFonts w:ascii="Quicksand" w:hAnsi="Quicksand" w:cs="Quicksand" w:eastAsia="Noto Sans TC"/>
          <w:b/>
          <w:color w:val="080808"/>
          <w:sz w:val="24"/>
        </w:rPr>
        <w:t>8. Tool selection and approval</w:t>
      </w:r>
    </w:p>
    <w:p>
      <w:r>
        <w:rPr>
          <w:rFonts w:ascii="Quicksand" w:hAnsi="Quicksand" w:cs="Quicksand" w:eastAsia="Noto Sans TC"/>
          <w:b w:val="0"/>
          <w:color w:val="080808"/>
          <w:sz w:val="21"/>
        </w:rPr>
        <w:t>List the categories of AI tool the school approves and the approval procedure. A policy is usually drafted before a tool is chosen, so write the rules here (who approves, and against what) and keep the current approved list in a separate appendix.</w:t>
      </w:r>
    </w:p>
    <w:p>
      <w:pPr>
        <w:pStyle w:val="ListBullet"/>
      </w:pPr>
      <w:r>
        <w:rPr>
          <w:rFonts w:ascii="Quicksand" w:hAnsi="Quicksand" w:cs="Quicksand" w:eastAsia="Noto Sans TC"/>
          <w:sz w:val="21"/>
        </w:rPr>
        <w:t>Procedure and who approves: [how it is recorded]</w:t>
      </w:r>
    </w:p>
    <w:p>
      <w:pPr>
        <w:pStyle w:val="ListBullet"/>
      </w:pPr>
      <w:r>
        <w:rPr>
          <w:rFonts w:ascii="Quicksand" w:hAnsi="Quicksand" w:cs="Quicksand" w:eastAsia="Noto Sans TC"/>
          <w:sz w:val="21"/>
        </w:rPr>
        <w:t>Criteria: [data handling, age appropriateness, charging model]</w:t>
      </w:r>
    </w:p>
    <w:p>
      <w:pPr>
        <w:pStyle w:val="ListBullet"/>
      </w:pPr>
      <w:r>
        <w:rPr>
          <w:rFonts w:ascii="Quicksand" w:hAnsi="Quicksand" w:cs="Quicksand" w:eastAsia="Noto Sans TC"/>
          <w:sz w:val="21"/>
        </w:rPr>
        <w:t>Keeping the list current: [periodic review and removal]</w:t>
      </w:r>
    </w:p>
    <w:p>
      <w:pPr>
        <w:pStyle w:val="ListBullet"/>
      </w:pPr>
      <w:r>
        <w:rPr>
          <w:rFonts w:ascii="Quicksand" w:hAnsi="Quicksand" w:cs="Quicksand" w:eastAsia="Noto Sans TC"/>
          <w:sz w:val="21"/>
        </w:rPr>
        <w:t>Staff trialling a new tool: [apply before use]</w:t>
      </w:r>
    </w:p>
    <w:p>
      <w:pPr>
        <w:spacing w:before="240" w:after="80"/>
      </w:pPr>
      <w:r>
        <w:rPr>
          <w:rFonts w:ascii="Quicksand" w:hAnsi="Quicksand" w:cs="Quicksand" w:eastAsia="Noto Sans TC"/>
          <w:b/>
          <w:color w:val="080808"/>
          <w:sz w:val="24"/>
        </w:rPr>
        <w:t>9. Incident handling</w:t>
      </w:r>
    </w:p>
    <w:p>
      <w:r>
        <w:rPr>
          <w:rFonts w:ascii="Quicksand" w:hAnsi="Quicksand" w:cs="Quicksand" w:eastAsia="Noto Sans TC"/>
          <w:b w:val="0"/>
          <w:color w:val="080808"/>
          <w:sz w:val="21"/>
        </w:rPr>
        <w:t>Set out the immediate steps and the reporting route when an AI-related incident occurs (a data exposure, inappropriate content, a plagiarism dispute), and the review that follows.</w:t>
      </w:r>
    </w:p>
    <w:p>
      <w:pPr>
        <w:pStyle w:val="ListBullet"/>
      </w:pPr>
      <w:r>
        <w:rPr>
          <w:rFonts w:ascii="Quicksand" w:hAnsi="Quicksand" w:cs="Quicksand" w:eastAsia="Noto Sans TC"/>
          <w:sz w:val="21"/>
        </w:rPr>
        <w:t>Immediate steps: [stop using the tool, keep the record]</w:t>
      </w:r>
    </w:p>
    <w:p>
      <w:pPr>
        <w:pStyle w:val="ListBullet"/>
      </w:pPr>
      <w:r>
        <w:rPr>
          <w:rFonts w:ascii="Quicksand" w:hAnsi="Quicksand" w:cs="Quicksand" w:eastAsia="Noto Sans TC"/>
          <w:sz w:val="21"/>
        </w:rPr>
        <w:t>Internal reporting route: [who coordinates, who is told]</w:t>
      </w:r>
    </w:p>
    <w:p>
      <w:pPr>
        <w:pStyle w:val="ListBullet"/>
      </w:pPr>
      <w:r>
        <w:rPr>
          <w:rFonts w:ascii="Quicksand" w:hAnsi="Quicksand" w:cs="Quicksand" w:eastAsia="Noto Sans TC"/>
          <w:sz w:val="21"/>
        </w:rPr>
        <w:t>Telling parents and the school: [state the time limit]</w:t>
      </w:r>
    </w:p>
    <w:p>
      <w:pPr>
        <w:pStyle w:val="ListBullet"/>
      </w:pPr>
      <w:r>
        <w:rPr>
          <w:rFonts w:ascii="Quicksand" w:hAnsi="Quicksand" w:cs="Quicksand" w:eastAsia="Noto Sans TC"/>
          <w:sz w:val="21"/>
        </w:rPr>
        <w:t>Review afterwards: [record it in the incident log and read it at the next review]</w:t>
      </w:r>
    </w:p>
    <w:p>
      <w:pPr>
        <w:spacing w:before="240" w:after="80"/>
      </w:pPr>
      <w:r>
        <w:rPr>
          <w:rFonts w:ascii="Quicksand" w:hAnsi="Quicksand" w:cs="Quicksand" w:eastAsia="Noto Sans TC"/>
          <w:b/>
          <w:color w:val="080808"/>
          <w:sz w:val="24"/>
        </w:rPr>
        <w:t>10. Parent communication and consent</w:t>
      </w:r>
    </w:p>
    <w:p>
      <w:r>
        <w:rPr>
          <w:rFonts w:ascii="Quicksand" w:hAnsi="Quicksand" w:cs="Quicksand" w:eastAsia="Noto Sans TC"/>
          <w:b w:val="0"/>
          <w:color w:val="080808"/>
          <w:sz w:val="21"/>
        </w:rPr>
        <w:t>Say how the school explains its use of AI to parents, and when parental consent is required. Parents should know whom to ask about the policy.</w:t>
      </w:r>
    </w:p>
    <w:p>
      <w:pPr>
        <w:pStyle w:val="ListBullet"/>
      </w:pPr>
      <w:r>
        <w:rPr>
          <w:rFonts w:ascii="Quicksand" w:hAnsi="Quicksand" w:cs="Quicksand" w:eastAsia="Noto Sans TC"/>
          <w:sz w:val="21"/>
        </w:rPr>
        <w:t>What parents are told and when: [e.g. a notice at the start of the year]</w:t>
      </w:r>
    </w:p>
    <w:p>
      <w:pPr>
        <w:pStyle w:val="ListBullet"/>
      </w:pPr>
      <w:r>
        <w:rPr>
          <w:rFonts w:ascii="Quicksand" w:hAnsi="Quicksand" w:cs="Quicksand" w:eastAsia="Noto Sans TC"/>
          <w:sz w:val="21"/>
        </w:rPr>
        <w:t>When consent is required: [student personal data or work]</w:t>
      </w:r>
    </w:p>
    <w:p>
      <w:pPr>
        <w:pStyle w:val="ListBullet"/>
      </w:pPr>
      <w:r>
        <w:rPr>
          <w:rFonts w:ascii="Quicksand" w:hAnsi="Quicksand" w:cs="Quicksand" w:eastAsia="Noto Sans TC"/>
          <w:sz w:val="21"/>
        </w:rPr>
        <w:t>How parents ask questions: [named contact and method]</w:t>
      </w:r>
    </w:p>
    <w:p>
      <w:pPr>
        <w:spacing w:before="240" w:after="80"/>
      </w:pPr>
      <w:r>
        <w:rPr>
          <w:rFonts w:ascii="Quicksand" w:hAnsi="Quicksand" w:cs="Quicksand" w:eastAsia="Noto Sans TC"/>
          <w:b/>
          <w:color w:val="080808"/>
          <w:sz w:val="24"/>
        </w:rPr>
        <w:t>11. Review cycle</w:t>
      </w:r>
    </w:p>
    <w:p>
      <w:r>
        <w:rPr>
          <w:rFonts w:ascii="Quicksand" w:hAnsi="Quicksand" w:cs="Quicksand" w:eastAsia="Noto Sans TC"/>
          <w:b w:val="0"/>
          <w:color w:val="080808"/>
          <w:sz w:val="21"/>
        </w:rPr>
        <w:t>State the review cycle, who owns it, and what the review looks at. Write this section into the Annual School Plan, naming the next review date.</w:t>
      </w:r>
    </w:p>
    <w:p>
      <w:pPr>
        <w:pStyle w:val="ListBullet"/>
      </w:pPr>
      <w:r>
        <w:rPr>
          <w:rFonts w:ascii="Quicksand" w:hAnsi="Quicksand" w:cs="Quicksand" w:eastAsia="Noto Sans TC"/>
          <w:sz w:val="21"/>
        </w:rPr>
        <w:t>Review cycle: [e.g. once each school year]</w:t>
      </w:r>
    </w:p>
    <w:p>
      <w:pPr>
        <w:pStyle w:val="ListBullet"/>
      </w:pPr>
      <w:r>
        <w:rPr>
          <w:rFonts w:ascii="Quicksand" w:hAnsi="Quicksand" w:cs="Quicksand" w:eastAsia="Noto Sans TC"/>
          <w:sz w:val="21"/>
        </w:rPr>
        <w:t>Owner: [post]</w:t>
      </w:r>
    </w:p>
    <w:p>
      <w:pPr>
        <w:pStyle w:val="ListBullet"/>
      </w:pPr>
      <w:r>
        <w:rPr>
          <w:rFonts w:ascii="Quicksand" w:hAnsi="Quicksand" w:cs="Quicksand" w:eastAsia="Noto Sans TC"/>
          <w:sz w:val="21"/>
        </w:rPr>
        <w:t>What is read: [staff and student feedback, incident log, changes to the tool list]</w:t>
      </w:r>
    </w:p>
    <w:p>
      <w:pPr>
        <w:pStyle w:val="ListBullet"/>
      </w:pPr>
      <w:r>
        <w:rPr>
          <w:rFonts w:ascii="Quicksand" w:hAnsi="Quicksand" w:cs="Quicksand" w:eastAsia="Noto Sans TC"/>
          <w:sz w:val="21"/>
        </w:rPr>
        <w:t>Next review date: [month and year]</w:t>
      </w:r>
    </w:p>
    <w:p>
      <w:r>
        <w:br w:type="page"/>
      </w:r>
    </w:p>
    <w:p>
      <w:pPr>
        <w:spacing w:before="240" w:after="80"/>
      </w:pPr>
      <w:r>
        <w:rPr>
          <w:rFonts w:ascii="Quicksand" w:hAnsi="Quicksand" w:cs="Quicksand" w:eastAsia="Noto Sans TC"/>
          <w:b/>
          <w:color w:val="E10707"/>
          <w:sz w:val="28"/>
        </w:rPr>
        <w:t>Part 2 - student edition</w:t>
      </w:r>
    </w:p>
    <w:p>
      <w:r>
        <w:rPr>
          <w:rFonts w:ascii="Quicksand" w:hAnsi="Quicksand" w:cs="Quicksand" w:eastAsia="Noto Sans TC"/>
          <w:b w:val="0"/>
          <w:color w:val="080808"/>
          <w:sz w:val="21"/>
        </w:rPr>
        <w:t>This part rewrites the rules that apply directly to students as short sentences a pupil can read, for a form-teacher period or the student handbook.</w:t>
      </w:r>
    </w:p>
    <w:p>
      <w:pPr>
        <w:spacing w:before="240" w:after="80"/>
      </w:pPr>
      <w:r>
        <w:rPr>
          <w:rFonts w:ascii="Quicksand" w:hAnsi="Quicksand" w:cs="Quicksand" w:eastAsia="Noto Sans TC"/>
          <w:b/>
          <w:color w:val="080808"/>
          <w:sz w:val="24"/>
        </w:rPr>
        <w:t>How I may use AI at school</w:t>
      </w:r>
    </w:p>
    <w:p>
      <w:r>
        <w:rPr>
          <w:rFonts w:ascii="Quicksand" w:hAnsi="Quicksand" w:cs="Quicksand" w:eastAsia="Noto Sans TC"/>
          <w:b w:val="0"/>
          <w:color w:val="080808"/>
          <w:sz w:val="21"/>
        </w:rPr>
        <w:t>The rules that apply directly to students, rewritten as short sentences a pupil can read. This is a starting frame; add subject examples of your own.</w:t>
      </w:r>
    </w:p>
    <w:p>
      <w:pPr>
        <w:pStyle w:val="ListBullet"/>
      </w:pPr>
      <w:r>
        <w:rPr>
          <w:rFonts w:ascii="Quicksand" w:hAnsi="Quicksand" w:cs="Quicksand" w:eastAsia="Noto Sans TC"/>
          <w:sz w:val="21"/>
        </w:rPr>
        <w:t>I may use AI to: [e.g. understand a concept, check my sentences, find background information]</w:t>
      </w:r>
    </w:p>
    <w:p>
      <w:pPr>
        <w:pStyle w:val="ListBullet"/>
      </w:pPr>
      <w:r>
        <w:rPr>
          <w:rFonts w:ascii="Quicksand" w:hAnsi="Quicksand" w:cs="Quicksand" w:eastAsia="Noto Sans TC"/>
          <w:sz w:val="21"/>
        </w:rPr>
        <w:t>I may not use AI to: [do work that must be my own]</w:t>
      </w:r>
    </w:p>
    <w:p>
      <w:pPr>
        <w:pStyle w:val="ListBullet"/>
      </w:pPr>
      <w:r>
        <w:rPr>
          <w:rFonts w:ascii="Quicksand" w:hAnsi="Quicksand" w:cs="Quicksand" w:eastAsia="Noto Sans TC"/>
          <w:sz w:val="21"/>
        </w:rPr>
        <w:t>When my teacher says it is allowed: [follow the teacher's instruction]</w:t>
      </w:r>
    </w:p>
    <w:p>
      <w:pPr>
        <w:spacing w:before="240" w:after="80"/>
      </w:pPr>
      <w:r>
        <w:rPr>
          <w:rFonts w:ascii="Quicksand" w:hAnsi="Quicksand" w:cs="Quicksand" w:eastAsia="Noto Sans TC"/>
          <w:b/>
          <w:color w:val="080808"/>
          <w:sz w:val="24"/>
        </w:rPr>
        <w:t>What I have to declare</w:t>
      </w:r>
    </w:p>
    <w:p>
      <w:r>
        <w:rPr>
          <w:rFonts w:ascii="Quicksand" w:hAnsi="Quicksand" w:cs="Quicksand" w:eastAsia="Noto Sans TC"/>
          <w:b w:val="0"/>
          <w:color w:val="080808"/>
          <w:sz w:val="21"/>
        </w:rPr>
        <w:t>Whenever AI was used, say so on the work itself.</w:t>
      </w:r>
    </w:p>
    <w:p>
      <w:pPr>
        <w:pStyle w:val="ListBullet"/>
      </w:pPr>
      <w:r>
        <w:rPr>
          <w:rFonts w:ascii="Quicksand" w:hAnsi="Quicksand" w:cs="Quicksand" w:eastAsia="Noto Sans TC"/>
          <w:sz w:val="21"/>
        </w:rPr>
        <w:t>Where I used AI: [which part]</w:t>
      </w:r>
    </w:p>
    <w:p>
      <w:pPr>
        <w:pStyle w:val="ListBullet"/>
      </w:pPr>
      <w:r>
        <w:rPr>
          <w:rFonts w:ascii="Quicksand" w:hAnsi="Quicksand" w:cs="Quicksand" w:eastAsia="Noto Sans TC"/>
          <w:sz w:val="21"/>
        </w:rPr>
        <w:t>What I asked and what it answered: [a short record]</w:t>
      </w:r>
    </w:p>
    <w:p>
      <w:pPr>
        <w:pStyle w:val="ListBullet"/>
      </w:pPr>
      <w:r>
        <w:rPr>
          <w:rFonts w:ascii="Quicksand" w:hAnsi="Quicksand" w:cs="Quicksand" w:eastAsia="Noto Sans TC"/>
          <w:sz w:val="21"/>
        </w:rPr>
        <w:t>What I changed and why: [one sentence]</w:t>
      </w:r>
    </w:p>
    <w:p>
      <w:pPr>
        <w:spacing w:before="240" w:after="80"/>
      </w:pPr>
      <w:r>
        <w:rPr>
          <w:rFonts w:ascii="Quicksand" w:hAnsi="Quicksand" w:cs="Quicksand" w:eastAsia="Noto Sans TC"/>
          <w:b/>
          <w:color w:val="080808"/>
          <w:sz w:val="24"/>
        </w:rPr>
        <w:t>What I must never enter</w:t>
      </w:r>
    </w:p>
    <w:p>
      <w:r>
        <w:rPr>
          <w:rFonts w:ascii="Quicksand" w:hAnsi="Quicksand" w:cs="Quicksand" w:eastAsia="Noto Sans TC"/>
          <w:b w:val="0"/>
          <w:color w:val="080808"/>
          <w:sz w:val="21"/>
        </w:rPr>
        <w:t>Never type personal data about yourself or anyone else into an AI tool.</w:t>
      </w:r>
    </w:p>
    <w:p>
      <w:pPr>
        <w:pStyle w:val="ListBullet"/>
      </w:pPr>
      <w:r>
        <w:rPr>
          <w:rFonts w:ascii="Quicksand" w:hAnsi="Quicksand" w:cs="Quicksand" w:eastAsia="Noto Sans TC"/>
          <w:sz w:val="21"/>
        </w:rPr>
        <w:t>Names, classes or photographs of me or my classmates</w:t>
      </w:r>
    </w:p>
    <w:p>
      <w:pPr>
        <w:pStyle w:val="ListBullet"/>
      </w:pPr>
      <w:r>
        <w:rPr>
          <w:rFonts w:ascii="Quicksand" w:hAnsi="Quicksand" w:cs="Quicksand" w:eastAsia="Noto Sans TC"/>
          <w:sz w:val="21"/>
        </w:rPr>
        <w:t>School documents, marks, contact details</w:t>
      </w:r>
    </w:p>
    <w:p>
      <w:pPr>
        <w:pStyle w:val="ListBullet"/>
      </w:pPr>
      <w:r>
        <w:rPr>
          <w:rFonts w:ascii="Quicksand" w:hAnsi="Quicksand" w:cs="Quicksand" w:eastAsia="Noto Sans TC"/>
          <w:sz w:val="21"/>
        </w:rPr>
        <w:t>If I am not sure: [ask my teacher first]</w:t>
      </w:r>
    </w:p>
    <w:p>
      <w:pPr>
        <w:spacing w:before="240" w:after="80"/>
      </w:pPr>
      <w:r>
        <w:rPr>
          <w:rFonts w:ascii="Quicksand" w:hAnsi="Quicksand" w:cs="Quicksand" w:eastAsia="Noto Sans TC"/>
          <w:b/>
          <w:color w:val="080808"/>
          <w:sz w:val="24"/>
        </w:rPr>
        <w:t>If something goes wrong</w:t>
      </w:r>
    </w:p>
    <w:p>
      <w:r>
        <w:rPr>
          <w:rFonts w:ascii="Quicksand" w:hAnsi="Quicksand" w:cs="Quicksand" w:eastAsia="Noto Sans TC"/>
          <w:b w:val="0"/>
          <w:color w:val="080808"/>
          <w:sz w:val="21"/>
        </w:rPr>
        <w:t>Knowing what to do matters more than being blamed afterwards.</w:t>
      </w:r>
    </w:p>
    <w:p>
      <w:pPr>
        <w:pStyle w:val="ListBullet"/>
      </w:pPr>
      <w:r>
        <w:rPr>
          <w:rFonts w:ascii="Quicksand" w:hAnsi="Quicksand" w:cs="Quicksand" w:eastAsia="Noto Sans TC"/>
          <w:sz w:val="21"/>
        </w:rPr>
        <w:t>Stop and tell my teacher straight away</w:t>
      </w:r>
    </w:p>
    <w:p>
      <w:pPr>
        <w:pStyle w:val="ListBullet"/>
      </w:pPr>
      <w:r>
        <w:rPr>
          <w:rFonts w:ascii="Quicksand" w:hAnsi="Quicksand" w:cs="Quicksand" w:eastAsia="Noto Sans TC"/>
          <w:sz w:val="21"/>
        </w:rPr>
        <w:t>Keep the record; do not delete it</w:t>
      </w:r>
    </w:p>
    <w:p>
      <w:pPr>
        <w:pStyle w:val="ListBullet"/>
      </w:pPr>
      <w:r>
        <w:rPr>
          <w:rFonts w:ascii="Quicksand" w:hAnsi="Quicksand" w:cs="Quicksand" w:eastAsia="Noto Sans TC"/>
          <w:sz w:val="21"/>
        </w:rPr>
        <w:t>If personal data is involved: [follow the school's instruction]</w:t>
      </w:r>
    </w:p>
    <w:p>
      <w:r>
        <w:br w:type="page"/>
      </w:r>
    </w:p>
    <w:p>
      <w:pPr>
        <w:spacing w:before="240" w:after="80"/>
      </w:pPr>
      <w:r>
        <w:rPr>
          <w:rFonts w:ascii="Quicksand" w:hAnsi="Quicksand" w:cs="Quicksand" w:eastAsia="Noto Sans TC"/>
          <w:b/>
          <w:color w:val="E10707"/>
          <w:sz w:val="28"/>
        </w:rPr>
        <w:t>Part 3 - completed example</w:t>
      </w:r>
    </w:p>
    <w:p>
      <w:r>
        <w:rPr>
          <w:rFonts w:ascii="Quicksand" w:hAnsi="Quicksand" w:cs="Quicksand" w:eastAsia="Noto Sans TC"/>
          <w:b w:val="0"/>
          <w:color w:val="080808"/>
          <w:sz w:val="21"/>
        </w:rPr>
        <w:t>A fictional school's filled-in version, there only to show how specific each field should be. Do not copy the school or personal names.</w:t>
      </w:r>
    </w:p>
    <w:p>
      <w:pPr>
        <w:spacing w:before="240" w:after="80"/>
      </w:pPr>
      <w:r>
        <w:rPr>
          <w:rFonts w:ascii="Quicksand" w:hAnsi="Quicksand" w:cs="Quicksand" w:eastAsia="Noto Sans TC"/>
          <w:b/>
          <w:color w:val="080808"/>
          <w:sz w:val="24"/>
        </w:rPr>
        <w:t>Section 1 - purpose and scope (example)</w:t>
      </w:r>
    </w:p>
    <w:p>
      <w:r>
        <w:rPr>
          <w:rFonts w:ascii="Quicksand" w:hAnsi="Quicksand" w:cs="Quicksand" w:eastAsia="Noto Sans TC"/>
          <w:b w:val="0"/>
          <w:color w:val="080808"/>
          <w:sz w:val="21"/>
        </w:rPr>
        <w:t>This policy applies to all staff, all students, and outside tutors working in the school's name. It covers classrooms, extra-curricular activities, online lessons and homework done at home. It is read alongside the school's Personal Information Collection Statement and its Academic Integrity Policy.</w:t>
      </w:r>
    </w:p>
    <w:p>
      <w:pPr>
        <w:spacing w:before="240" w:after="80"/>
      </w:pPr>
      <w:r>
        <w:rPr>
          <w:rFonts w:ascii="Quicksand" w:hAnsi="Quicksand" w:cs="Quicksand" w:eastAsia="Noto Sans TC"/>
          <w:b/>
          <w:color w:val="080808"/>
          <w:sz w:val="24"/>
        </w:rPr>
        <w:t>Section 2 - rollout and accountability (example)</w:t>
      </w:r>
    </w:p>
    <w:p>
      <w:r>
        <w:rPr>
          <w:rFonts w:ascii="Quicksand" w:hAnsi="Quicksand" w:cs="Quicksand" w:eastAsia="Noto Sans TC"/>
          <w:b w:val="0"/>
          <w:color w:val="080808"/>
          <w:sz w:val="21"/>
        </w:rPr>
        <w:t>The Head of Curriculum leads, with a working group of one teacher each from IT, pastoral care and the subject panels. A timetable goes to the staff meeting in September 2026, with a report each term after that. Training time is set aside on a staff development day.</w:t>
      </w:r>
    </w:p>
    <w:p>
      <w:pPr>
        <w:spacing w:before="240" w:after="80"/>
      </w:pPr>
      <w:r>
        <w:rPr>
          <w:rFonts w:ascii="Quicksand" w:hAnsi="Quicksand" w:cs="Quicksand" w:eastAsia="Noto Sans TC"/>
          <w:b/>
          <w:color w:val="080808"/>
          <w:sz w:val="24"/>
        </w:rPr>
        <w:t>Section 3 - staff rules (example)</w:t>
      </w:r>
    </w:p>
    <w:p>
      <w:r>
        <w:rPr>
          <w:rFonts w:ascii="Quicksand" w:hAnsi="Quicksand" w:cs="Quicksand" w:eastAsia="Noto Sans TC"/>
          <w:b w:val="0"/>
          <w:color w:val="080808"/>
          <w:sz w:val="21"/>
        </w:rPr>
        <w:t>Staff use only the tools on the school's approved list. Student work is not uploaded until names, classes and any identifiable part have been removed. Marking remains the teacher's; AI does not produce a mark directly.</w:t>
      </w:r>
    </w:p>
    <w:p>
      <w:pPr>
        <w:spacing w:before="240" w:after="80"/>
      </w:pPr>
      <w:r>
        <w:rPr>
          <w:rFonts w:ascii="Quicksand" w:hAnsi="Quicksand" w:cs="Quicksand" w:eastAsia="Noto Sans TC"/>
          <w:b/>
          <w:color w:val="080808"/>
          <w:sz w:val="24"/>
        </w:rPr>
        <w:t>Section 5 - personal data and privacy (example)</w:t>
      </w:r>
    </w:p>
    <w:p>
      <w:r>
        <w:rPr>
          <w:rFonts w:ascii="Quicksand" w:hAnsi="Quicksand" w:cs="Quicksand" w:eastAsia="Noto Sans TC"/>
          <w:b w:val="0"/>
          <w:color w:val="080808"/>
          <w:sz w:val="21"/>
        </w:rPr>
        <w:t>The teacher taking the class removes the identifying details, and notes it on the marking record. Material is kept for one school year, readable only by the class teacher and the panel head.</w:t>
      </w:r>
    </w:p>
    <w:p>
      <w:pPr>
        <w:spacing w:before="240" w:after="80"/>
      </w:pPr>
      <w:r>
        <w:rPr>
          <w:rFonts w:ascii="Quicksand" w:hAnsi="Quicksand" w:cs="Quicksand" w:eastAsia="Noto Sans TC"/>
          <w:b/>
          <w:color w:val="080808"/>
          <w:sz w:val="24"/>
        </w:rPr>
        <w:t>Section 9 - incident handling (example)</w:t>
      </w:r>
    </w:p>
    <w:p>
      <w:r>
        <w:rPr>
          <w:rFonts w:ascii="Quicksand" w:hAnsi="Quicksand" w:cs="Quicksand" w:eastAsia="Noto Sans TC"/>
          <w:b w:val="0"/>
          <w:color w:val="080808"/>
          <w:sz w:val="21"/>
        </w:rPr>
        <w:t>On discovering an exposure, the user stops working, keeps the record, and tells the IT team the same day. The IT team follows the school's existing procedure and tells the parents of any affected students within three school days.</w:t>
      </w:r>
    </w:p>
    <w:p>
      <w:pPr>
        <w:spacing w:before="240" w:after="80"/>
      </w:pPr>
      <w:r>
        <w:rPr>
          <w:rFonts w:ascii="Quicksand" w:hAnsi="Quicksand" w:cs="Quicksand" w:eastAsia="Noto Sans TC"/>
          <w:b/>
          <w:color w:val="080808"/>
          <w:sz w:val="24"/>
        </w:rPr>
        <w:t>Section 11 - review cycle (example)</w:t>
      </w:r>
    </w:p>
    <w:p>
      <w:r>
        <w:rPr>
          <w:rFonts w:ascii="Quicksand" w:hAnsi="Quicksand" w:cs="Quicksand" w:eastAsia="Noto Sans TC"/>
          <w:b w:val="0"/>
          <w:color w:val="080808"/>
          <w:sz w:val="21"/>
        </w:rPr>
        <w:t>The policy is reviewed once each school year by the Head of Curriculum, in June, looking at staff and student feedback, the incident log and changes to the tool list, and is updated before the new school year begins in September.</w:t>
      </w:r>
    </w:p>
    <w:p>
      <w:pPr>
        <w:spacing w:before="240" w:after="80"/>
      </w:pPr>
      <w:r>
        <w:rPr>
          <w:rFonts w:ascii="Quicksand" w:hAnsi="Quicksand" w:cs="Quicksand" w:eastAsia="Noto Sans TC"/>
          <w:b/>
          <w:color w:val="E10707"/>
          <w:sz w:val="28"/>
        </w:rPr>
        <w:t>Appendix - version record</w:t>
      </w:r>
    </w:p>
    <w:p>
      <w:r>
        <w:rPr>
          <w:rFonts w:ascii="Quicksand" w:hAnsi="Quicksand" w:cs="Quicksand" w:eastAsia="Noto Sans TC"/>
          <w:b w:val="0"/>
          <w:color w:val="080808"/>
          <w:sz w:val="21"/>
        </w:rPr>
        <w:t>Update this table at every revision, and note the date and the approving person on the released version.</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1071"/>
            <w:shd w:val="clear" w:fill="E10707"/>
          </w:tcPr>
          <w:p>
            <w:r/>
            <w:r>
              <w:rPr>
                <w:rFonts w:ascii="Quicksand" w:hAnsi="Quicksand" w:cs="Quicksand" w:eastAsia="Noto Sans TC"/>
                <w:b/>
                <w:color w:val="FFFFFF"/>
                <w:sz w:val="20"/>
              </w:rPr>
              <w:t>Version</w:t>
            </w:r>
          </w:p>
        </w:tc>
        <w:tc>
          <w:tcPr>
            <w:tcW w:type="dxa" w:w="2142"/>
            <w:shd w:val="clear" w:fill="E10707"/>
          </w:tcPr>
          <w:p>
            <w:r/>
            <w:r>
              <w:rPr>
                <w:rFonts w:ascii="Quicksand" w:hAnsi="Quicksand" w:cs="Quicksand" w:eastAsia="Noto Sans TC"/>
                <w:b/>
                <w:color w:val="FFFFFF"/>
                <w:sz w:val="20"/>
              </w:rPr>
              <w:t>Date</w:t>
            </w:r>
          </w:p>
        </w:tc>
        <w:tc>
          <w:tcPr>
            <w:tcW w:type="dxa" w:w="4283"/>
            <w:shd w:val="clear" w:fill="E10707"/>
          </w:tcPr>
          <w:p>
            <w:r/>
            <w:r>
              <w:rPr>
                <w:rFonts w:ascii="Quicksand" w:hAnsi="Quicksand" w:cs="Quicksand" w:eastAsia="Noto Sans TC"/>
                <w:b/>
                <w:color w:val="FFFFFF"/>
                <w:sz w:val="20"/>
              </w:rPr>
              <w:t>Change</w:t>
            </w:r>
          </w:p>
        </w:tc>
        <w:tc>
          <w:tcPr>
            <w:tcW w:type="dxa" w:w="2142"/>
            <w:shd w:val="clear" w:fill="E10707"/>
          </w:tcPr>
          <w:p>
            <w:r/>
            <w:r>
              <w:rPr>
                <w:rFonts w:ascii="Quicksand" w:hAnsi="Quicksand" w:cs="Quicksand" w:eastAsia="Noto Sans TC"/>
                <w:b/>
                <w:color w:val="FFFFFF"/>
                <w:sz w:val="20"/>
              </w:rPr>
              <w:t>Approved by</w:t>
            </w:r>
          </w:p>
        </w:tc>
      </w:tr>
      <w:tr>
        <w:tc>
          <w:tcPr>
            <w:tcW w:type="dxa" w:w="1071"/>
          </w:tcPr>
          <w:p>
            <w:r/>
            <w:r>
              <w:rPr>
                <w:rFonts w:ascii="Quicksand" w:hAnsi="Quicksand" w:cs="Quicksand" w:eastAsia="Noto Sans TC"/>
                <w:sz w:val="20"/>
              </w:rPr>
              <w:t>1.0</w:t>
            </w:r>
          </w:p>
        </w:tc>
        <w:tc>
          <w:tcPr>
            <w:tcW w:type="dxa" w:w="2142"/>
          </w:tcPr>
          <w:p>
            <w:r/>
            <w:r>
              <w:rPr>
                <w:rFonts w:ascii="Quicksand" w:hAnsi="Quicksand" w:cs="Quicksand" w:eastAsia="Noto Sans TC"/>
                <w:sz w:val="20"/>
              </w:rPr>
              <w:t>[        ]</w:t>
            </w:r>
          </w:p>
        </w:tc>
        <w:tc>
          <w:tcPr>
            <w:tcW w:type="dxa" w:w="4283"/>
          </w:tcPr>
          <w:p>
            <w:r/>
            <w:r>
              <w:rPr>
                <w:rFonts w:ascii="Quicksand" w:hAnsi="Quicksand" w:cs="Quicksand" w:eastAsia="Noto Sans TC"/>
                <w:sz w:val="20"/>
              </w:rPr>
              <w:t>First release</w:t>
            </w:r>
          </w:p>
        </w:tc>
        <w:tc>
          <w:tcPr>
            <w:tcW w:type="dxa" w:w="2142"/>
          </w:tcPr>
          <w:p>
            <w:r/>
            <w:r>
              <w:rPr>
                <w:rFonts w:ascii="Quicksand" w:hAnsi="Quicksand" w:cs="Quicksand" w:eastAsia="Noto Sans TC"/>
                <w:sz w:val="20"/>
              </w:rPr>
              <w:t>[            ]</w:t>
            </w:r>
          </w:p>
        </w:tc>
      </w:tr>
      <w:tr>
        <w:tc>
          <w:tcPr>
            <w:tcW w:type="dxa" w:w="1071"/>
          </w:tcPr>
          <w:p>
            <w:r/>
            <w:r>
              <w:rPr>
                <w:rFonts w:ascii="Quicksand" w:hAnsi="Quicksand" w:cs="Quicksand" w:eastAsia="Noto Sans TC"/>
                <w:sz w:val="20"/>
              </w:rPr>
            </w:r>
          </w:p>
        </w:tc>
        <w:tc>
          <w:tcPr>
            <w:tcW w:type="dxa" w:w="2142"/>
          </w:tcPr>
          <w:p>
            <w:r/>
            <w:r>
              <w:rPr>
                <w:rFonts w:ascii="Quicksand" w:hAnsi="Quicksand" w:cs="Quicksand" w:eastAsia="Noto Sans TC"/>
                <w:sz w:val="20"/>
              </w:rPr>
            </w:r>
          </w:p>
        </w:tc>
        <w:tc>
          <w:tcPr>
            <w:tcW w:type="dxa" w:w="4283"/>
          </w:tcPr>
          <w:p>
            <w:r/>
            <w:r>
              <w:rPr>
                <w:rFonts w:ascii="Quicksand" w:hAnsi="Quicksand" w:cs="Quicksand" w:eastAsia="Noto Sans TC"/>
                <w:sz w:val="20"/>
              </w:rPr>
            </w:r>
          </w:p>
        </w:tc>
        <w:tc>
          <w:tcPr>
            <w:tcW w:type="dxa" w:w="2142"/>
          </w:tcPr>
          <w:p>
            <w:r/>
            <w:r>
              <w:rPr>
                <w:rFonts w:ascii="Quicksand" w:hAnsi="Quicksand" w:cs="Quicksand" w:eastAsia="Noto Sans TC"/>
                <w:sz w:val="20"/>
              </w:rPr>
            </w:r>
          </w:p>
        </w:tc>
      </w:tr>
      <w:tr>
        <w:tc>
          <w:tcPr>
            <w:tcW w:type="dxa" w:w="1071"/>
          </w:tcPr>
          <w:p>
            <w:r/>
            <w:r>
              <w:rPr>
                <w:rFonts w:ascii="Quicksand" w:hAnsi="Quicksand" w:cs="Quicksand" w:eastAsia="Noto Sans TC"/>
                <w:sz w:val="20"/>
              </w:rPr>
            </w:r>
          </w:p>
        </w:tc>
        <w:tc>
          <w:tcPr>
            <w:tcW w:type="dxa" w:w="2142"/>
          </w:tcPr>
          <w:p>
            <w:r/>
            <w:r>
              <w:rPr>
                <w:rFonts w:ascii="Quicksand" w:hAnsi="Quicksand" w:cs="Quicksand" w:eastAsia="Noto Sans TC"/>
                <w:sz w:val="20"/>
              </w:rPr>
            </w:r>
          </w:p>
        </w:tc>
        <w:tc>
          <w:tcPr>
            <w:tcW w:type="dxa" w:w="4283"/>
          </w:tcPr>
          <w:p>
            <w:r/>
            <w:r>
              <w:rPr>
                <w:rFonts w:ascii="Quicksand" w:hAnsi="Quicksand" w:cs="Quicksand" w:eastAsia="Noto Sans TC"/>
                <w:sz w:val="20"/>
              </w:rPr>
            </w:r>
          </w:p>
        </w:tc>
        <w:tc>
          <w:tcPr>
            <w:tcW w:type="dxa" w:w="2142"/>
          </w:tcPr>
          <w:p>
            <w:r/>
            <w:r>
              <w:rPr>
                <w:rFonts w:ascii="Quicksand" w:hAnsi="Quicksand" w:cs="Quicksand" w:eastAsia="Noto Sans TC"/>
                <w:sz w:val="20"/>
              </w:rPr>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