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Quicksand" w:hAnsi="Quicksand" w:cs="Quicksand" w:eastAsia="Noto Sans TC"/>
          <w:b/>
          <w:color w:val="080808"/>
          <w:sz w:val="44"/>
        </w:rPr>
        <w:t>Library and self-study AI provision plan</w:t>
      </w:r>
    </w:p>
    <w:p>
      <w:r>
        <w:rPr>
          <w:rFonts w:ascii="Quicksand" w:hAnsi="Quicksand" w:cs="Quicksand" w:eastAsia="Noto Sans TC"/>
          <w:color w:val="6F6F6F"/>
          <w:sz w:val="24"/>
        </w:rPr>
        <w:t>Four resource categories, three time slots, five rules | editable, printable</w:t>
      </w:r>
    </w:p>
    <w:p>
      <w:r>
        <w:rPr>
          <w:rFonts w:ascii="Quicksand" w:hAnsi="Quicksand" w:cs="Quicksand" w:eastAsia="Noto Sans TC"/>
          <w:color w:val="E10707"/>
          <w:sz w:val="18"/>
        </w:rPr>
        <w:t>──────────────────────────────────────────────</w:t>
      </w:r>
    </w:p>
    <w:p>
      <w:pPr>
        <w:spacing w:before="240" w:after="80"/>
      </w:pPr>
      <w:r>
        <w:rPr>
          <w:rFonts w:ascii="Quicksand" w:hAnsi="Quicksand" w:cs="Quicksand" w:eastAsia="Noto Sans TC"/>
          <w:b/>
          <w:color w:val="E10707"/>
          <w:sz w:val="28"/>
        </w:rPr>
        <w:t>Part 1  Four resource categories</w:t>
      </w:r>
    </w:p>
    <w:p>
      <w:r>
        <w:rPr>
          <w:rFonts w:ascii="Quicksand" w:hAnsi="Quicksand" w:cs="Quicksand" w:eastAsia="Noto Sans TC"/>
          <w:b w:val="0"/>
          <w:color w:val="080808"/>
          <w:sz w:val="21"/>
        </w:rPr>
        <w:t>The four are fixed, with none added and none removed. Each says only its category and what it is for, never a brand; no named commercial tool appears anywhere in this document.</w:t>
      </w:r>
    </w:p>
    <w:tbl>
      <w:tblPr>
        <w:tblStyle w:val="TableGrid"/>
        <w:tblW w:type="auto" w:w="0"/>
        <w:jc w:val="left"/>
        <w:tblLook w:firstColumn="1" w:firstRow="1" w:lastColumn="0" w:lastRow="0" w:noHBand="0" w:noVBand="1" w:val="04A0"/>
      </w:tblPr>
      <w:tblGrid>
        <w:gridCol w:w="2409"/>
        <w:gridCol w:w="2409"/>
        <w:gridCol w:w="2409"/>
        <w:gridCol w:w="2409"/>
      </w:tblGrid>
      <w:tr>
        <w:tc>
          <w:tcPr>
            <w:tcW w:type="dxa" w:w="482"/>
            <w:shd w:val="clear" w:fill="E10707"/>
          </w:tcPr>
          <w:p>
            <w:r/>
            <w:r>
              <w:rPr>
                <w:rFonts w:ascii="Quicksand" w:hAnsi="Quicksand" w:cs="Quicksand" w:eastAsia="Noto Sans TC"/>
                <w:b/>
                <w:color w:val="FFFFFF"/>
                <w:sz w:val="20"/>
              </w:rPr>
              <w:t>No.</w:t>
            </w:r>
          </w:p>
        </w:tc>
        <w:tc>
          <w:tcPr>
            <w:tcW w:type="dxa" w:w="2409"/>
            <w:shd w:val="clear" w:fill="E10707"/>
          </w:tcPr>
          <w:p>
            <w:r/>
            <w:r>
              <w:rPr>
                <w:rFonts w:ascii="Quicksand" w:hAnsi="Quicksand" w:cs="Quicksand" w:eastAsia="Noto Sans TC"/>
                <w:b/>
                <w:color w:val="FFFFFF"/>
                <w:sz w:val="20"/>
              </w:rPr>
              <w:t>Category</w:t>
            </w:r>
          </w:p>
        </w:tc>
        <w:tc>
          <w:tcPr>
            <w:tcW w:type="dxa" w:w="4337"/>
            <w:shd w:val="clear" w:fill="E10707"/>
          </w:tcPr>
          <w:p>
            <w:r/>
            <w:r>
              <w:rPr>
                <w:rFonts w:ascii="Quicksand" w:hAnsi="Quicksand" w:cs="Quicksand" w:eastAsia="Noto Sans TC"/>
                <w:b/>
                <w:color w:val="FFFFFF"/>
                <w:sz w:val="20"/>
              </w:rPr>
              <w:t>What to write</w:t>
            </w:r>
          </w:p>
        </w:tc>
        <w:tc>
          <w:tcPr>
            <w:tcW w:type="dxa" w:w="2409"/>
            <w:shd w:val="clear" w:fill="E10707"/>
          </w:tcPr>
          <w:p>
            <w:r/>
            <w:r>
              <w:rPr>
                <w:rFonts w:ascii="Quicksand" w:hAnsi="Quicksand" w:cs="Quicksand" w:eastAsia="Noto Sans TC"/>
                <w:b/>
                <w:color w:val="FFFFFF"/>
                <w:sz w:val="20"/>
              </w:rPr>
              <w:t>The school's own arrangement (fill in)</w:t>
            </w:r>
          </w:p>
        </w:tc>
      </w:tr>
      <w:tr>
        <w:tc>
          <w:tcPr>
            <w:tcW w:type="dxa" w:w="482"/>
          </w:tcPr>
          <w:p>
            <w:r/>
            <w:r>
              <w:rPr>
                <w:rFonts w:ascii="Quicksand" w:hAnsi="Quicksand" w:cs="Quicksand" w:eastAsia="Noto Sans TC"/>
                <w:sz w:val="20"/>
              </w:rPr>
              <w:t>1</w:t>
            </w:r>
          </w:p>
        </w:tc>
        <w:tc>
          <w:tcPr>
            <w:tcW w:type="dxa" w:w="2409"/>
          </w:tcPr>
          <w:p>
            <w:r/>
            <w:r>
              <w:rPr>
                <w:rFonts w:ascii="Quicksand" w:hAnsi="Quicksand" w:cs="Quicksand" w:eastAsia="Noto Sans TC"/>
                <w:sz w:val="20"/>
              </w:rPr>
              <w:t>Tools the school subscribes to and has approved</w:t>
            </w:r>
          </w:p>
        </w:tc>
        <w:tc>
          <w:tcPr>
            <w:tcW w:type="dxa" w:w="4337"/>
          </w:tcPr>
          <w:p>
            <w:r/>
            <w:r>
              <w:rPr>
                <w:rFonts w:ascii="Quicksand" w:hAnsi="Quicksand" w:cs="Quicksand" w:eastAsia="Noto Sans TC"/>
                <w:sz w:val="20"/>
              </w:rPr>
              <w:t>By category (for example writing support, image generation, speaking practice), with a note that they are entered through a school account. No brands, no subscription costs, no account details.</w:t>
            </w:r>
          </w:p>
        </w:tc>
        <w:tc>
          <w:tcPr>
            <w:tcW w:type="dxa" w:w="2409"/>
          </w:tcPr>
          <w:p>
            <w:r/>
            <w:r>
              <w:rPr>
                <w:rFonts w:ascii="Quicksand" w:hAnsi="Quicksand" w:cs="Quicksand" w:eastAsia="Noto Sans TC"/>
                <w:sz w:val="20"/>
              </w:rPr>
            </w:r>
          </w:p>
        </w:tc>
      </w:tr>
      <w:tr>
        <w:tc>
          <w:tcPr>
            <w:tcW w:type="dxa" w:w="482"/>
          </w:tcPr>
          <w:p>
            <w:r/>
            <w:r>
              <w:rPr>
                <w:rFonts w:ascii="Quicksand" w:hAnsi="Quicksand" w:cs="Quicksand" w:eastAsia="Noto Sans TC"/>
                <w:sz w:val="20"/>
              </w:rPr>
              <w:t>2</w:t>
            </w:r>
          </w:p>
        </w:tc>
        <w:tc>
          <w:tcPr>
            <w:tcW w:type="dxa" w:w="2409"/>
          </w:tcPr>
          <w:p>
            <w:r/>
            <w:r>
              <w:rPr>
                <w:rFonts w:ascii="Quicksand" w:hAnsi="Quicksand" w:cs="Quicksand" w:eastAsia="Noto Sans TC"/>
                <w:sz w:val="20"/>
              </w:rPr>
              <w:t>Free tools the school has approved for use</w:t>
            </w:r>
          </w:p>
        </w:tc>
        <w:tc>
          <w:tcPr>
            <w:tcW w:type="dxa" w:w="4337"/>
          </w:tcPr>
          <w:p>
            <w:r/>
            <w:r>
              <w:rPr>
                <w:rFonts w:ascii="Quicksand" w:hAnsi="Quicksand" w:cs="Quicksand" w:eastAsia="Noto Sans TC"/>
                <w:sz w:val="20"/>
              </w:rPr>
              <w:t>Also by category, with a note that they are still entered through a school account and bound by the same rules. No web addresses, no brands.</w:t>
            </w:r>
          </w:p>
        </w:tc>
        <w:tc>
          <w:tcPr>
            <w:tcW w:type="dxa" w:w="2409"/>
          </w:tcPr>
          <w:p>
            <w:r/>
            <w:r>
              <w:rPr>
                <w:rFonts w:ascii="Quicksand" w:hAnsi="Quicksand" w:cs="Quicksand" w:eastAsia="Noto Sans TC"/>
                <w:sz w:val="20"/>
              </w:rPr>
            </w:r>
          </w:p>
        </w:tc>
      </w:tr>
      <w:tr>
        <w:tc>
          <w:tcPr>
            <w:tcW w:type="dxa" w:w="482"/>
          </w:tcPr>
          <w:p>
            <w:r/>
            <w:r>
              <w:rPr>
                <w:rFonts w:ascii="Quicksand" w:hAnsi="Quicksand" w:cs="Quicksand" w:eastAsia="Noto Sans TC"/>
                <w:sz w:val="20"/>
              </w:rPr>
              <w:t>3</w:t>
            </w:r>
          </w:p>
        </w:tc>
        <w:tc>
          <w:tcPr>
            <w:tcW w:type="dxa" w:w="2409"/>
          </w:tcPr>
          <w:p>
            <w:r/>
            <w:r>
              <w:rPr>
                <w:rFonts w:ascii="Quicksand" w:hAnsi="Quicksand" w:cs="Quicksand" w:eastAsia="Noto Sans TC"/>
                <w:sz w:val="20"/>
              </w:rPr>
              <w:t>Categories not to be used in school</w:t>
            </w:r>
          </w:p>
        </w:tc>
        <w:tc>
          <w:tcPr>
            <w:tcW w:type="dxa" w:w="4337"/>
          </w:tcPr>
          <w:p>
            <w:r/>
            <w:r>
              <w:rPr>
                <w:rFonts w:ascii="Quicksand" w:hAnsi="Quicksand" w:cs="Quicksand" w:eastAsia="Noto Sans TC"/>
                <w:sz w:val="20"/>
              </w:rPr>
              <w:t>Categories only, no brands (for example generation tools the school has not approved, tools needing a personal account to register, tools that let a user upload photographs or recordings).</w:t>
            </w:r>
          </w:p>
        </w:tc>
        <w:tc>
          <w:tcPr>
            <w:tcW w:type="dxa" w:w="2409"/>
          </w:tcPr>
          <w:p>
            <w:r/>
            <w:r>
              <w:rPr>
                <w:rFonts w:ascii="Quicksand" w:hAnsi="Quicksand" w:cs="Quicksand" w:eastAsia="Noto Sans TC"/>
                <w:sz w:val="20"/>
              </w:rPr>
            </w:r>
          </w:p>
        </w:tc>
      </w:tr>
      <w:tr>
        <w:tc>
          <w:tcPr>
            <w:tcW w:type="dxa" w:w="482"/>
          </w:tcPr>
          <w:p>
            <w:r/>
            <w:r>
              <w:rPr>
                <w:rFonts w:ascii="Quicksand" w:hAnsi="Quicksand" w:cs="Quicksand" w:eastAsia="Noto Sans TC"/>
                <w:sz w:val="20"/>
              </w:rPr>
              <w:t>4</w:t>
            </w:r>
          </w:p>
        </w:tc>
        <w:tc>
          <w:tcPr>
            <w:tcW w:type="dxa" w:w="2409"/>
          </w:tcPr>
          <w:p>
            <w:r/>
            <w:r>
              <w:rPr>
                <w:rFonts w:ascii="Quicksand" w:hAnsi="Quicksand" w:cs="Quicksand" w:eastAsia="Noto Sans TC"/>
                <w:sz w:val="20"/>
              </w:rPr>
              <w:t>Hardware and environment</w:t>
            </w:r>
          </w:p>
        </w:tc>
        <w:tc>
          <w:tcPr>
            <w:tcW w:type="dxa" w:w="4337"/>
          </w:tcPr>
          <w:p>
            <w:r/>
            <w:r>
              <w:rPr>
                <w:rFonts w:ascii="Quicksand" w:hAnsi="Quicksand" w:cs="Quicksand" w:eastAsia="Noto Sans TC"/>
                <w:sz w:val="20"/>
              </w:rPr>
              <w:t>Devices that may be borrowed, headphones, printing and storage, seating and the quiet area; and what happens after use: where headphones go back, where files are cleared, who handles printing.</w:t>
            </w:r>
          </w:p>
        </w:tc>
        <w:tc>
          <w:tcPr>
            <w:tcW w:type="dxa" w:w="2409"/>
          </w:tcPr>
          <w:p>
            <w:r/>
            <w:r>
              <w:rPr>
                <w:rFonts w:ascii="Quicksand" w:hAnsi="Quicksand" w:cs="Quicksand" w:eastAsia="Noto Sans TC"/>
                <w:sz w:val="20"/>
              </w:rPr>
            </w:r>
          </w:p>
        </w:tc>
      </w:tr>
    </w:tbl>
    <w:p>
      <w:r>
        <w:rPr>
          <w:rFonts w:ascii="Quicksand" w:hAnsi="Quicksand" w:cs="Quicksand" w:eastAsia="Noto Sans TC"/>
          <w:b w:val="0"/>
          <w:color w:val="080808"/>
          <w:sz w:val="18"/>
        </w:rPr>
        <w:t>Category 3 is written as categories on purpose: a brand list goes out of date with the next product launch, and it teaches pupils that anything except those few brands is fine.</w:t>
      </w:r>
    </w:p>
    <w:p>
      <w:pPr>
        <w:spacing w:before="240" w:after="80"/>
      </w:pPr>
      <w:r>
        <w:rPr>
          <w:rFonts w:ascii="Quicksand" w:hAnsi="Quicksand" w:cs="Quicksand" w:eastAsia="Noto Sans TC"/>
          <w:b/>
          <w:color w:val="E10707"/>
          <w:sz w:val="28"/>
        </w:rPr>
        <w:t>Part 2  Three time slots and the supervision sheet</w:t>
      </w:r>
    </w:p>
    <w:p>
      <w:r>
        <w:rPr>
          <w:rFonts w:ascii="Quicksand" w:hAnsi="Quicksand" w:cs="Quicksand" w:eastAsia="Noto Sans TC"/>
          <w:b w:val="0"/>
          <w:color w:val="080808"/>
          <w:sz w:val="21"/>
        </w:rPr>
        <w:t>Each slot says only who is responsible, what they do, and what they do not do. Duty is always written as the post, never as a name.</w:t>
      </w:r>
    </w:p>
    <w:tbl>
      <w:tblPr>
        <w:tblStyle w:val="TableGrid"/>
        <w:tblW w:type="auto" w:w="0"/>
        <w:jc w:val="left"/>
        <w:tblLook w:firstColumn="1" w:firstRow="1" w:lastColumn="0" w:lastRow="0" w:noHBand="0" w:noVBand="1" w:val="04A0"/>
      </w:tblPr>
      <w:tblGrid>
        <w:gridCol w:w="1928"/>
        <w:gridCol w:w="1928"/>
        <w:gridCol w:w="1928"/>
        <w:gridCol w:w="1928"/>
        <w:gridCol w:w="1928"/>
      </w:tblGrid>
      <w:tr>
        <w:tc>
          <w:tcPr>
            <w:tcW w:type="dxa" w:w="1522"/>
            <w:shd w:val="clear" w:fill="E10707"/>
          </w:tcPr>
          <w:p>
            <w:r/>
            <w:r>
              <w:rPr>
                <w:rFonts w:ascii="Quicksand" w:hAnsi="Quicksand" w:cs="Quicksand" w:eastAsia="Noto Sans TC"/>
                <w:b/>
                <w:color w:val="FFFFFF"/>
                <w:sz w:val="20"/>
              </w:rPr>
              <w:t>Slot</w:t>
            </w:r>
          </w:p>
        </w:tc>
        <w:tc>
          <w:tcPr>
            <w:tcW w:type="dxa" w:w="1522"/>
            <w:shd w:val="clear" w:fill="E10707"/>
          </w:tcPr>
          <w:p>
            <w:r/>
            <w:r>
              <w:rPr>
                <w:rFonts w:ascii="Quicksand" w:hAnsi="Quicksand" w:cs="Quicksand" w:eastAsia="Noto Sans TC"/>
                <w:b/>
                <w:color w:val="FFFFFF"/>
                <w:sz w:val="20"/>
              </w:rPr>
              <w:t>Post responsible</w:t>
            </w:r>
          </w:p>
        </w:tc>
        <w:tc>
          <w:tcPr>
            <w:tcW w:type="dxa" w:w="4058"/>
            <w:shd w:val="clear" w:fill="E10707"/>
          </w:tcPr>
          <w:p>
            <w:r/>
            <w:r>
              <w:rPr>
                <w:rFonts w:ascii="Quicksand" w:hAnsi="Quicksand" w:cs="Quicksand" w:eastAsia="Noto Sans TC"/>
                <w:b/>
                <w:color w:val="FFFFFF"/>
                <w:sz w:val="20"/>
              </w:rPr>
              <w:t>What they do</w:t>
            </w:r>
          </w:p>
        </w:tc>
        <w:tc>
          <w:tcPr>
            <w:tcW w:type="dxa" w:w="2029"/>
            <w:shd w:val="clear" w:fill="E10707"/>
          </w:tcPr>
          <w:p>
            <w:r/>
            <w:r>
              <w:rPr>
                <w:rFonts w:ascii="Quicksand" w:hAnsi="Quicksand" w:cs="Quicksand" w:eastAsia="Noto Sans TC"/>
                <w:b/>
                <w:color w:val="FFFFFF"/>
                <w:sz w:val="20"/>
              </w:rPr>
              <w:t>Times and duty arrangement (fill in)</w:t>
            </w:r>
          </w:p>
        </w:tc>
        <w:tc>
          <w:tcPr>
            <w:tcW w:type="dxa" w:w="507"/>
            <w:shd w:val="clear" w:fill="E10707"/>
          </w:tcPr>
          <w:p>
            <w:r/>
            <w:r>
              <w:rPr>
                <w:rFonts w:ascii="Quicksand" w:hAnsi="Quicksand" w:cs="Quicksand" w:eastAsia="Noto Sans TC"/>
                <w:b/>
                <w:color w:val="FFFFFF"/>
                <w:sz w:val="20"/>
              </w:rPr>
              <w:t>Check</w:t>
            </w:r>
          </w:p>
        </w:tc>
      </w:tr>
      <w:tr>
        <w:tc>
          <w:tcPr>
            <w:tcW w:type="dxa" w:w="1522"/>
          </w:tcPr>
          <w:p>
            <w:r/>
            <w:r>
              <w:rPr>
                <w:rFonts w:ascii="Quicksand" w:hAnsi="Quicksand" w:cs="Quicksand" w:eastAsia="Noto Sans TC"/>
                <w:sz w:val="20"/>
              </w:rPr>
              <w:t>Borrowing during lessons</w:t>
            </w:r>
          </w:p>
        </w:tc>
        <w:tc>
          <w:tcPr>
            <w:tcW w:type="dxa" w:w="1522"/>
          </w:tcPr>
          <w:p>
            <w:r/>
            <w:r>
              <w:rPr>
                <w:rFonts w:ascii="Quicksand" w:hAnsi="Quicksand" w:cs="Quicksand" w:eastAsia="Noto Sans TC"/>
                <w:sz w:val="20"/>
              </w:rPr>
              <w:t>Subject teacher</w:t>
            </w:r>
          </w:p>
        </w:tc>
        <w:tc>
          <w:tcPr>
            <w:tcW w:type="dxa" w:w="4058"/>
          </w:tcPr>
          <w:p>
            <w:r/>
            <w:r>
              <w:rPr>
                <w:rFonts w:ascii="Quicksand" w:hAnsi="Quicksand" w:cs="Quicksand" w:eastAsia="Noto Sans TC"/>
                <w:sz w:val="20"/>
              </w:rPr>
              <w:t>The teaching use is the subject teacher's: what is taught, which category, when to stop. The library provides the room and the school account only.</w:t>
            </w:r>
          </w:p>
        </w:tc>
        <w:tc>
          <w:tcPr>
            <w:tcW w:type="dxa" w:w="2029"/>
          </w:tcPr>
          <w:p>
            <w:r/>
            <w:r>
              <w:rPr>
                <w:rFonts w:ascii="Quicksand" w:hAnsi="Quicksand" w:cs="Quicksand" w:eastAsia="Noto Sans TC"/>
                <w:sz w:val="20"/>
              </w:rPr>
            </w:r>
          </w:p>
        </w:tc>
        <w:tc>
          <w:tcPr>
            <w:tcW w:type="dxa" w:w="507"/>
          </w:tcPr>
          <w:p>
            <w:r/>
            <w:r>
              <w:rPr>
                <w:rFonts w:ascii="Quicksand" w:hAnsi="Quicksand" w:cs="Quicksand" w:eastAsia="Noto Sans TC"/>
                <w:sz w:val="20"/>
              </w:rPr>
              <w:t>□</w:t>
            </w:r>
          </w:p>
        </w:tc>
      </w:tr>
      <w:tr>
        <w:tc>
          <w:tcPr>
            <w:tcW w:type="dxa" w:w="1522"/>
          </w:tcPr>
          <w:p>
            <w:r/>
            <w:r>
              <w:rPr>
                <w:rFonts w:ascii="Quicksand" w:hAnsi="Quicksand" w:cs="Quicksand" w:eastAsia="Noto Sans TC"/>
                <w:sz w:val="20"/>
              </w:rPr>
              <w:t>Lunchtime and designated after-school slots</w:t>
            </w:r>
          </w:p>
        </w:tc>
        <w:tc>
          <w:tcPr>
            <w:tcW w:type="dxa" w:w="1522"/>
          </w:tcPr>
          <w:p>
            <w:r/>
            <w:r>
              <w:rPr>
                <w:rFonts w:ascii="Quicksand" w:hAnsi="Quicksand" w:cs="Quicksand" w:eastAsia="Noto Sans TC"/>
                <w:sz w:val="20"/>
              </w:rPr>
              <w:t>Duty colleague</w:t>
            </w:r>
          </w:p>
        </w:tc>
        <w:tc>
          <w:tcPr>
            <w:tcW w:type="dxa" w:w="4058"/>
          </w:tcPr>
          <w:p>
            <w:r/>
            <w:r>
              <w:rPr>
                <w:rFonts w:ascii="Quicksand" w:hAnsi="Quicksand" w:cs="Quicksand" w:eastAsia="Noto Sans TC"/>
                <w:sz w:val="20"/>
              </w:rPr>
              <w:t>A colleague is on duty in the designated slots and does not leave during duty. When generated content looks wrong or an account will not sign out, the duty colleague handles it under the school's procedures.</w:t>
            </w:r>
          </w:p>
        </w:tc>
        <w:tc>
          <w:tcPr>
            <w:tcW w:type="dxa" w:w="2029"/>
          </w:tcPr>
          <w:p>
            <w:r/>
            <w:r>
              <w:rPr>
                <w:rFonts w:ascii="Quicksand" w:hAnsi="Quicksand" w:cs="Quicksand" w:eastAsia="Noto Sans TC"/>
                <w:sz w:val="20"/>
              </w:rPr>
            </w:r>
          </w:p>
        </w:tc>
        <w:tc>
          <w:tcPr>
            <w:tcW w:type="dxa" w:w="507"/>
          </w:tcPr>
          <w:p>
            <w:r/>
            <w:r>
              <w:rPr>
                <w:rFonts w:ascii="Quicksand" w:hAnsi="Quicksand" w:cs="Quicksand" w:eastAsia="Noto Sans TC"/>
                <w:sz w:val="20"/>
              </w:rPr>
              <w:t>□</w:t>
            </w:r>
          </w:p>
        </w:tc>
      </w:tr>
      <w:tr>
        <w:tc>
          <w:tcPr>
            <w:tcW w:type="dxa" w:w="1522"/>
          </w:tcPr>
          <w:p>
            <w:r/>
            <w:r>
              <w:rPr>
                <w:rFonts w:ascii="Quicksand" w:hAnsi="Quicksand" w:cs="Quicksand" w:eastAsia="Noto Sans TC"/>
                <w:sz w:val="20"/>
              </w:rPr>
              <w:t>Self-study at home</w:t>
            </w:r>
          </w:p>
        </w:tc>
        <w:tc>
          <w:tcPr>
            <w:tcW w:type="dxa" w:w="1522"/>
          </w:tcPr>
          <w:p>
            <w:r/>
            <w:r>
              <w:rPr>
                <w:rFonts w:ascii="Quicksand" w:hAnsi="Quicksand" w:cs="Quicksand" w:eastAsia="Noto Sans TC"/>
                <w:sz w:val="20"/>
              </w:rPr>
              <w:t>The pupil and the family</w:t>
            </w:r>
          </w:p>
        </w:tc>
        <w:tc>
          <w:tcPr>
            <w:tcW w:type="dxa" w:w="4058"/>
          </w:tcPr>
          <w:p>
            <w:r/>
            <w:r>
              <w:rPr>
                <w:rFonts w:ascii="Quicksand" w:hAnsi="Quicksand" w:cs="Quicksand" w:eastAsia="Noto Sans TC"/>
                <w:sz w:val="20"/>
              </w:rPr>
              <w:t>Approved tools and school accounts only; sign out when finished. No unapproved free tools, no personal accounts.</w:t>
            </w:r>
          </w:p>
        </w:tc>
        <w:tc>
          <w:tcPr>
            <w:tcW w:type="dxa" w:w="2029"/>
          </w:tcPr>
          <w:p>
            <w:r/>
            <w:r>
              <w:rPr>
                <w:rFonts w:ascii="Quicksand" w:hAnsi="Quicksand" w:cs="Quicksand" w:eastAsia="Noto Sans TC"/>
                <w:sz w:val="20"/>
              </w:rPr>
              <w:t>—</w:t>
            </w:r>
          </w:p>
        </w:tc>
        <w:tc>
          <w:tcPr>
            <w:tcW w:type="dxa" w:w="507"/>
          </w:tcPr>
          <w:p>
            <w:r/>
            <w:r>
              <w:rPr>
                <w:rFonts w:ascii="Quicksand" w:hAnsi="Quicksand" w:cs="Quicksand" w:eastAsia="Noto Sans TC"/>
                <w:sz w:val="20"/>
              </w:rPr>
              <w:t>□</w:t>
            </w:r>
          </w:p>
        </w:tc>
      </w:tr>
    </w:tbl>
    <w:p>
      <w:r>
        <w:rPr>
          <w:rFonts w:ascii="Quicksand" w:hAnsi="Quicksand" w:cs="Quicksand" w:eastAsia="Noto Sans TC"/>
          <w:b w:val="0"/>
          <w:color w:val="080808"/>
          <w:sz w:val="18"/>
        </w:rPr>
        <w:t>Slots with no colleague on duty are not open. The designated slots must carry their actual times and be published at the start of term.</w:t>
      </w:r>
    </w:p>
    <w:p>
      <w:r>
        <w:br w:type="page"/>
      </w:r>
    </w:p>
    <w:p>
      <w:pPr>
        <w:spacing w:before="240" w:after="80"/>
      </w:pPr>
      <w:r>
        <w:rPr>
          <w:rFonts w:ascii="Quicksand" w:hAnsi="Quicksand" w:cs="Quicksand" w:eastAsia="Noto Sans TC"/>
          <w:b/>
          <w:color w:val="E10707"/>
          <w:sz w:val="28"/>
        </w:rPr>
        <w:t>Part 3  The five library rules</w:t>
      </w:r>
    </w:p>
    <w:p>
      <w:r>
        <w:rPr>
          <w:rFonts w:ascii="Quicksand" w:hAnsi="Quicksand" w:cs="Quicksand" w:eastAsia="Noto Sans TC"/>
          <w:b w:val="0"/>
          <w:color w:val="080808"/>
          <w:sz w:val="20"/>
        </w:rPr>
        <w:t>For enlarging, photocopying and posting. Any use of an AI tool in the library keeps these five rules.</w:t>
      </w:r>
    </w:p>
    <w:p>
      <w:r>
        <w:rPr>
          <w:rFonts w:ascii="Quicksand" w:hAnsi="Quicksand" w:cs="Quicksand" w:eastAsia="Noto Sans TC"/>
          <w:b/>
          <w:color w:val="080808"/>
          <w:sz w:val="28"/>
        </w:rPr>
        <w:t>1  Sign in with a school account only; sign out when finished and clear downloaded files.</w:t>
      </w:r>
    </w:p>
    <w:p>
      <w:r>
        <w:rPr>
          <w:rFonts w:ascii="Quicksand" w:hAnsi="Quicksand" w:cs="Quicksand" w:eastAsia="Noto Sans TC"/>
          <w:b w:val="0"/>
          <w:color w:val="080808"/>
          <w:sz w:val="20"/>
        </w:rPr>
        <w:t xml:space="preserve">    Borrowing is time-limited. An account left signed in and a file left on the desktop hand the next user the last user's session.</w:t>
      </w:r>
    </w:p>
    <w:p>
      <w:r>
        <w:rPr>
          <w:rFonts w:ascii="Quicksand" w:hAnsi="Quicksand" w:cs="Quicksand" w:eastAsia="Noto Sans TC"/>
          <w:b/>
          <w:color w:val="080808"/>
          <w:sz w:val="28"/>
        </w:rPr>
        <w:t>2  Do not enter your own, a classmate's or a parent's personal details.</w:t>
      </w:r>
    </w:p>
    <w:p>
      <w:r>
        <w:rPr>
          <w:rFonts w:ascii="Quicksand" w:hAnsi="Quicksand" w:cs="Quicksand" w:eastAsia="Noto Sans TC"/>
          <w:b w:val="0"/>
          <w:color w:val="080808"/>
          <w:sz w:val="20"/>
        </w:rPr>
        <w:t xml:space="preserve">    Names, class, photographs, phone numbers, addresses and marks are never entered. Where an example is needed, use a made-up label.</w:t>
      </w:r>
    </w:p>
    <w:p>
      <w:r>
        <w:rPr>
          <w:rFonts w:ascii="Quicksand" w:hAnsi="Quicksand" w:cs="Quicksand" w:eastAsia="Noto Sans TC"/>
          <w:b/>
          <w:color w:val="080808"/>
          <w:sz w:val="28"/>
        </w:rPr>
        <w:t>3  Mark the part of any piece of work that AI generated.</w:t>
      </w:r>
    </w:p>
    <w:p>
      <w:r>
        <w:rPr>
          <w:rFonts w:ascii="Quicksand" w:hAnsi="Quicksand" w:cs="Quicksand" w:eastAsia="Noto Sans TC"/>
          <w:b w:val="0"/>
          <w:color w:val="080808"/>
          <w:sz w:val="20"/>
        </w:rPr>
        <w:t xml:space="preserve">    Say which part used a tool and what for. Unmarked, it counts as your own original work.</w:t>
      </w:r>
    </w:p>
    <w:p>
      <w:r>
        <w:rPr>
          <w:rFonts w:ascii="Quicksand" w:hAnsi="Quicksand" w:cs="Quicksand" w:eastAsia="Noto Sans TC"/>
          <w:b/>
          <w:color w:val="080808"/>
          <w:sz w:val="28"/>
        </w:rPr>
        <w:t>4  Do not read conversations aloud or play generated speech in the library; use headphones to listen.</w:t>
      </w:r>
    </w:p>
    <w:p>
      <w:r>
        <w:rPr>
          <w:rFonts w:ascii="Quicksand" w:hAnsi="Quicksand" w:cs="Quicksand" w:eastAsia="Noto Sans TC"/>
          <w:b w:val="0"/>
          <w:color w:val="080808"/>
          <w:sz w:val="20"/>
        </w:rPr>
        <w:t xml:space="preserve">    The library is a quiet space and a shared one. Headphones are for other people as much as for concentration.</w:t>
      </w:r>
    </w:p>
    <w:p>
      <w:r>
        <w:rPr>
          <w:rFonts w:ascii="Quicksand" w:hAnsi="Quicksand" w:cs="Quicksand" w:eastAsia="Noto Sans TC"/>
          <w:b/>
          <w:color w:val="080808"/>
          <w:sz w:val="28"/>
        </w:rPr>
        <w:t>5  If generated content looks wrong, or an account will not sign out, tell the duty colleague.</w:t>
      </w:r>
    </w:p>
    <w:p>
      <w:r>
        <w:rPr>
          <w:rFonts w:ascii="Quicksand" w:hAnsi="Quicksand" w:cs="Quicksand" w:eastAsia="Noto Sans TC"/>
          <w:b w:val="0"/>
          <w:color w:val="080808"/>
          <w:sz w:val="20"/>
        </w:rPr>
        <w:t xml:space="preserve">    Neither is something a pupil can fix, and neither should be attempted alone.</w:t>
      </w:r>
    </w:p>
    <w:p>
      <w:r>
        <w:rPr>
          <w:rFonts w:ascii="Quicksand" w:hAnsi="Quicksand" w:cs="Quicksand" w:eastAsia="Noto Sans TC"/>
          <w:b w:val="0"/>
          <w:color w:val="080808"/>
          <w:sz w:val="18"/>
        </w:rPr>
        <w:t>This is the library edition. Rules 2 and 3 are the same as the classroom edition; the other three differ, on the time slot (rule 1), the environment (rule 4) and duty (rule 5).</w:t>
      </w:r>
    </w:p>
    <w:p>
      <w:r>
        <w:br w:type="page"/>
      </w:r>
    </w:p>
    <w:p>
      <w:pPr>
        <w:spacing w:before="240" w:after="80"/>
      </w:pPr>
      <w:r>
        <w:rPr>
          <w:rFonts w:ascii="Quicksand" w:hAnsi="Quicksand" w:cs="Quicksand" w:eastAsia="Noto Sans TC"/>
          <w:b/>
          <w:color w:val="E10707"/>
          <w:sz w:val="28"/>
        </w:rPr>
        <w:t>Part 4  The use record, one page a term (three columns)</w:t>
      </w:r>
    </w:p>
    <w:p>
      <w:r>
        <w:rPr>
          <w:rFonts w:ascii="Quicksand" w:hAnsi="Quicksand" w:cs="Quicksand" w:eastAsia="Noto Sans TC"/>
          <w:b w:val="0"/>
          <w:color w:val="080808"/>
          <w:sz w:val="21"/>
        </w:rPr>
        <w:t>Categories and counts only — no names, no individual pupil's use, and never written as surveillance. Photocopies on its own.</w:t>
      </w:r>
    </w:p>
    <w:tbl>
      <w:tblPr>
        <w:tblStyle w:val="TableGrid"/>
        <w:tblW w:type="auto" w:w="0"/>
        <w:jc w:val="left"/>
        <w:tblLook w:firstColumn="1" w:firstRow="1" w:lastColumn="0" w:lastRow="0" w:noHBand="0" w:noVBand="1" w:val="04A0"/>
      </w:tblPr>
      <w:tblGrid>
        <w:gridCol w:w="3213"/>
        <w:gridCol w:w="3213"/>
        <w:gridCol w:w="3213"/>
      </w:tblGrid>
      <w:tr>
        <w:tc>
          <w:tcPr>
            <w:tcW w:type="dxa" w:w="2835"/>
            <w:shd w:val="clear" w:fill="E10707"/>
          </w:tcPr>
          <w:p>
            <w:r/>
            <w:r>
              <w:rPr>
                <w:rFonts w:ascii="Quicksand" w:hAnsi="Quicksand" w:cs="Quicksand" w:eastAsia="Noto Sans TC"/>
                <w:b/>
                <w:color w:val="FFFFFF"/>
                <w:sz w:val="20"/>
              </w:rPr>
              <w:t>Tool name</w:t>
            </w:r>
          </w:p>
        </w:tc>
        <w:tc>
          <w:tcPr>
            <w:tcW w:type="dxa" w:w="1701"/>
            <w:shd w:val="clear" w:fill="E10707"/>
          </w:tcPr>
          <w:p>
            <w:r/>
            <w:r>
              <w:rPr>
                <w:rFonts w:ascii="Quicksand" w:hAnsi="Quicksand" w:cs="Quicksand" w:eastAsia="Noto Sans TC"/>
                <w:b/>
                <w:color w:val="FFFFFF"/>
                <w:sz w:val="20"/>
              </w:rPr>
              <w:t>Approximate number of uses</w:t>
            </w:r>
          </w:p>
        </w:tc>
        <w:tc>
          <w:tcPr>
            <w:tcW w:type="dxa" w:w="5102"/>
            <w:shd w:val="clear" w:fill="E10707"/>
          </w:tcPr>
          <w:p>
            <w:r/>
            <w:r>
              <w:rPr>
                <w:rFonts w:ascii="Quicksand" w:hAnsi="Quicksand" w:cs="Quicksand" w:eastAsia="Noto Sans TC"/>
                <w:b/>
                <w:color w:val="FFFFFF"/>
                <w:sz w:val="20"/>
              </w:rPr>
              <w:t>One sentence on incidents</w:t>
            </w:r>
          </w:p>
        </w:tc>
      </w:tr>
      <w:tr>
        <w:tc>
          <w:tcPr>
            <w:tcW w:type="dxa" w:w="2835"/>
          </w:tcPr>
          <w:p>
            <w:r/>
            <w:r>
              <w:rPr>
                <w:rFonts w:ascii="Quicksand" w:hAnsi="Quicksand" w:cs="Quicksand" w:eastAsia="Noto Sans TC"/>
                <w:sz w:val="20"/>
              </w:rPr>
            </w:r>
          </w:p>
        </w:tc>
        <w:tc>
          <w:tcPr>
            <w:tcW w:type="dxa" w:w="1701"/>
          </w:tcPr>
          <w:p>
            <w:r/>
            <w:r>
              <w:rPr>
                <w:rFonts w:ascii="Quicksand" w:hAnsi="Quicksand" w:cs="Quicksand" w:eastAsia="Noto Sans TC"/>
                <w:sz w:val="20"/>
              </w:rPr>
            </w:r>
          </w:p>
        </w:tc>
        <w:tc>
          <w:tcPr>
            <w:tcW w:type="dxa" w:w="5102"/>
          </w:tcPr>
          <w:p>
            <w:r/>
            <w:r>
              <w:rPr>
                <w:rFonts w:ascii="Quicksand" w:hAnsi="Quicksand" w:cs="Quicksand" w:eastAsia="Noto Sans TC"/>
                <w:sz w:val="20"/>
              </w:rPr>
            </w:r>
          </w:p>
        </w:tc>
      </w:tr>
      <w:tr>
        <w:tc>
          <w:tcPr>
            <w:tcW w:type="dxa" w:w="2835"/>
          </w:tcPr>
          <w:p>
            <w:r/>
            <w:r>
              <w:rPr>
                <w:rFonts w:ascii="Quicksand" w:hAnsi="Quicksand" w:cs="Quicksand" w:eastAsia="Noto Sans TC"/>
                <w:sz w:val="20"/>
              </w:rPr>
            </w:r>
          </w:p>
        </w:tc>
        <w:tc>
          <w:tcPr>
            <w:tcW w:type="dxa" w:w="1701"/>
          </w:tcPr>
          <w:p>
            <w:r/>
            <w:r>
              <w:rPr>
                <w:rFonts w:ascii="Quicksand" w:hAnsi="Quicksand" w:cs="Quicksand" w:eastAsia="Noto Sans TC"/>
                <w:sz w:val="20"/>
              </w:rPr>
            </w:r>
          </w:p>
        </w:tc>
        <w:tc>
          <w:tcPr>
            <w:tcW w:type="dxa" w:w="5102"/>
          </w:tcPr>
          <w:p>
            <w:r/>
            <w:r>
              <w:rPr>
                <w:rFonts w:ascii="Quicksand" w:hAnsi="Quicksand" w:cs="Quicksand" w:eastAsia="Noto Sans TC"/>
                <w:sz w:val="20"/>
              </w:rPr>
            </w:r>
          </w:p>
        </w:tc>
      </w:tr>
      <w:tr>
        <w:tc>
          <w:tcPr>
            <w:tcW w:type="dxa" w:w="2835"/>
          </w:tcPr>
          <w:p>
            <w:r/>
            <w:r>
              <w:rPr>
                <w:rFonts w:ascii="Quicksand" w:hAnsi="Quicksand" w:cs="Quicksand" w:eastAsia="Noto Sans TC"/>
                <w:sz w:val="20"/>
              </w:rPr>
            </w:r>
          </w:p>
        </w:tc>
        <w:tc>
          <w:tcPr>
            <w:tcW w:type="dxa" w:w="1701"/>
          </w:tcPr>
          <w:p>
            <w:r/>
            <w:r>
              <w:rPr>
                <w:rFonts w:ascii="Quicksand" w:hAnsi="Quicksand" w:cs="Quicksand" w:eastAsia="Noto Sans TC"/>
                <w:sz w:val="20"/>
              </w:rPr>
            </w:r>
          </w:p>
        </w:tc>
        <w:tc>
          <w:tcPr>
            <w:tcW w:type="dxa" w:w="5102"/>
          </w:tcPr>
          <w:p>
            <w:r/>
            <w:r>
              <w:rPr>
                <w:rFonts w:ascii="Quicksand" w:hAnsi="Quicksand" w:cs="Quicksand" w:eastAsia="Noto Sans TC"/>
                <w:sz w:val="20"/>
              </w:rPr>
            </w:r>
          </w:p>
        </w:tc>
      </w:tr>
      <w:tr>
        <w:tc>
          <w:tcPr>
            <w:tcW w:type="dxa" w:w="2835"/>
          </w:tcPr>
          <w:p>
            <w:r/>
            <w:r>
              <w:rPr>
                <w:rFonts w:ascii="Quicksand" w:hAnsi="Quicksand" w:cs="Quicksand" w:eastAsia="Noto Sans TC"/>
                <w:sz w:val="20"/>
              </w:rPr>
            </w:r>
          </w:p>
        </w:tc>
        <w:tc>
          <w:tcPr>
            <w:tcW w:type="dxa" w:w="1701"/>
          </w:tcPr>
          <w:p>
            <w:r/>
            <w:r>
              <w:rPr>
                <w:rFonts w:ascii="Quicksand" w:hAnsi="Quicksand" w:cs="Quicksand" w:eastAsia="Noto Sans TC"/>
                <w:sz w:val="20"/>
              </w:rPr>
            </w:r>
          </w:p>
        </w:tc>
        <w:tc>
          <w:tcPr>
            <w:tcW w:type="dxa" w:w="5102"/>
          </w:tcPr>
          <w:p>
            <w:r/>
            <w:r>
              <w:rPr>
                <w:rFonts w:ascii="Quicksand" w:hAnsi="Quicksand" w:cs="Quicksand" w:eastAsia="Noto Sans TC"/>
                <w:sz w:val="20"/>
              </w:rPr>
            </w:r>
          </w:p>
        </w:tc>
      </w:tr>
      <w:tr>
        <w:tc>
          <w:tcPr>
            <w:tcW w:type="dxa" w:w="2835"/>
          </w:tcPr>
          <w:p>
            <w:r/>
            <w:r>
              <w:rPr>
                <w:rFonts w:ascii="Quicksand" w:hAnsi="Quicksand" w:cs="Quicksand" w:eastAsia="Noto Sans TC"/>
                <w:sz w:val="20"/>
              </w:rPr>
            </w:r>
          </w:p>
        </w:tc>
        <w:tc>
          <w:tcPr>
            <w:tcW w:type="dxa" w:w="1701"/>
          </w:tcPr>
          <w:p>
            <w:r/>
            <w:r>
              <w:rPr>
                <w:rFonts w:ascii="Quicksand" w:hAnsi="Quicksand" w:cs="Quicksand" w:eastAsia="Noto Sans TC"/>
                <w:sz w:val="20"/>
              </w:rPr>
            </w:r>
          </w:p>
        </w:tc>
        <w:tc>
          <w:tcPr>
            <w:tcW w:type="dxa" w:w="5102"/>
          </w:tcPr>
          <w:p>
            <w:r/>
            <w:r>
              <w:rPr>
                <w:rFonts w:ascii="Quicksand" w:hAnsi="Quicksand" w:cs="Quicksand" w:eastAsia="Noto Sans TC"/>
                <w:sz w:val="20"/>
              </w:rPr>
            </w:r>
          </w:p>
        </w:tc>
      </w:tr>
      <w:tr>
        <w:tc>
          <w:tcPr>
            <w:tcW w:type="dxa" w:w="2835"/>
          </w:tcPr>
          <w:p>
            <w:r/>
            <w:r>
              <w:rPr>
                <w:rFonts w:ascii="Quicksand" w:hAnsi="Quicksand" w:cs="Quicksand" w:eastAsia="Noto Sans TC"/>
                <w:sz w:val="20"/>
              </w:rPr>
            </w:r>
          </w:p>
        </w:tc>
        <w:tc>
          <w:tcPr>
            <w:tcW w:type="dxa" w:w="1701"/>
          </w:tcPr>
          <w:p>
            <w:r/>
            <w:r>
              <w:rPr>
                <w:rFonts w:ascii="Quicksand" w:hAnsi="Quicksand" w:cs="Quicksand" w:eastAsia="Noto Sans TC"/>
                <w:sz w:val="20"/>
              </w:rPr>
            </w:r>
          </w:p>
        </w:tc>
        <w:tc>
          <w:tcPr>
            <w:tcW w:type="dxa" w:w="5102"/>
          </w:tcPr>
          <w:p>
            <w:r/>
            <w:r>
              <w:rPr>
                <w:rFonts w:ascii="Quicksand" w:hAnsi="Quicksand" w:cs="Quicksand" w:eastAsia="Noto Sans TC"/>
                <w:sz w:val="20"/>
              </w:rPr>
            </w:r>
          </w:p>
        </w:tc>
      </w:tr>
      <w:tr>
        <w:tc>
          <w:tcPr>
            <w:tcW w:type="dxa" w:w="2835"/>
          </w:tcPr>
          <w:p>
            <w:r/>
            <w:r>
              <w:rPr>
                <w:rFonts w:ascii="Quicksand" w:hAnsi="Quicksand" w:cs="Quicksand" w:eastAsia="Noto Sans TC"/>
                <w:sz w:val="20"/>
              </w:rPr>
            </w:r>
          </w:p>
        </w:tc>
        <w:tc>
          <w:tcPr>
            <w:tcW w:type="dxa" w:w="1701"/>
          </w:tcPr>
          <w:p>
            <w:r/>
            <w:r>
              <w:rPr>
                <w:rFonts w:ascii="Quicksand" w:hAnsi="Quicksand" w:cs="Quicksand" w:eastAsia="Noto Sans TC"/>
                <w:sz w:val="20"/>
              </w:rPr>
            </w:r>
          </w:p>
        </w:tc>
        <w:tc>
          <w:tcPr>
            <w:tcW w:type="dxa" w:w="5102"/>
          </w:tcPr>
          <w:p>
            <w:r/>
            <w:r>
              <w:rPr>
                <w:rFonts w:ascii="Quicksand" w:hAnsi="Quicksand" w:cs="Quicksand" w:eastAsia="Noto Sans TC"/>
                <w:sz w:val="20"/>
              </w:rPr>
            </w:r>
          </w:p>
        </w:tc>
      </w:tr>
      <w:tr>
        <w:tc>
          <w:tcPr>
            <w:tcW w:type="dxa" w:w="2835"/>
          </w:tcPr>
          <w:p>
            <w:r/>
            <w:r>
              <w:rPr>
                <w:rFonts w:ascii="Quicksand" w:hAnsi="Quicksand" w:cs="Quicksand" w:eastAsia="Noto Sans TC"/>
                <w:sz w:val="20"/>
              </w:rPr>
            </w:r>
          </w:p>
        </w:tc>
        <w:tc>
          <w:tcPr>
            <w:tcW w:type="dxa" w:w="1701"/>
          </w:tcPr>
          <w:p>
            <w:r/>
            <w:r>
              <w:rPr>
                <w:rFonts w:ascii="Quicksand" w:hAnsi="Quicksand" w:cs="Quicksand" w:eastAsia="Noto Sans TC"/>
                <w:sz w:val="20"/>
              </w:rPr>
            </w:r>
          </w:p>
        </w:tc>
        <w:tc>
          <w:tcPr>
            <w:tcW w:type="dxa" w:w="5102"/>
          </w:tcPr>
          <w:p>
            <w:r/>
            <w:r>
              <w:rPr>
                <w:rFonts w:ascii="Quicksand" w:hAnsi="Quicksand" w:cs="Quicksand" w:eastAsia="Noto Sans TC"/>
                <w:sz w:val="20"/>
              </w:rPr>
            </w:r>
          </w:p>
        </w:tc>
      </w:tr>
      <w:tr>
        <w:tc>
          <w:tcPr>
            <w:tcW w:type="dxa" w:w="2835"/>
          </w:tcPr>
          <w:p>
            <w:r/>
            <w:r>
              <w:rPr>
                <w:rFonts w:ascii="Quicksand" w:hAnsi="Quicksand" w:cs="Quicksand" w:eastAsia="Noto Sans TC"/>
                <w:sz w:val="20"/>
              </w:rPr>
            </w:r>
          </w:p>
        </w:tc>
        <w:tc>
          <w:tcPr>
            <w:tcW w:type="dxa" w:w="1701"/>
          </w:tcPr>
          <w:p>
            <w:r/>
            <w:r>
              <w:rPr>
                <w:rFonts w:ascii="Quicksand" w:hAnsi="Quicksand" w:cs="Quicksand" w:eastAsia="Noto Sans TC"/>
                <w:sz w:val="20"/>
              </w:rPr>
            </w:r>
          </w:p>
        </w:tc>
        <w:tc>
          <w:tcPr>
            <w:tcW w:type="dxa" w:w="5102"/>
          </w:tcPr>
          <w:p>
            <w:r/>
            <w:r>
              <w:rPr>
                <w:rFonts w:ascii="Quicksand" w:hAnsi="Quicksand" w:cs="Quicksand" w:eastAsia="Noto Sans TC"/>
                <w:sz w:val="20"/>
              </w:rPr>
            </w:r>
          </w:p>
        </w:tc>
      </w:tr>
      <w:tr>
        <w:tc>
          <w:tcPr>
            <w:tcW w:type="dxa" w:w="2835"/>
          </w:tcPr>
          <w:p>
            <w:r/>
            <w:r>
              <w:rPr>
                <w:rFonts w:ascii="Quicksand" w:hAnsi="Quicksand" w:cs="Quicksand" w:eastAsia="Noto Sans TC"/>
                <w:sz w:val="20"/>
              </w:rPr>
            </w:r>
          </w:p>
        </w:tc>
        <w:tc>
          <w:tcPr>
            <w:tcW w:type="dxa" w:w="1701"/>
          </w:tcPr>
          <w:p>
            <w:r/>
            <w:r>
              <w:rPr>
                <w:rFonts w:ascii="Quicksand" w:hAnsi="Quicksand" w:cs="Quicksand" w:eastAsia="Noto Sans TC"/>
                <w:sz w:val="20"/>
              </w:rPr>
            </w:r>
          </w:p>
        </w:tc>
        <w:tc>
          <w:tcPr>
            <w:tcW w:type="dxa" w:w="5102"/>
          </w:tcPr>
          <w:p>
            <w:r/>
            <w:r>
              <w:rPr>
                <w:rFonts w:ascii="Quicksand" w:hAnsi="Quicksand" w:cs="Quicksand" w:eastAsia="Noto Sans TC"/>
                <w:sz w:val="20"/>
              </w:rPr>
            </w:r>
          </w:p>
        </w:tc>
      </w:tr>
    </w:tbl>
    <w:p>
      <w:r>
        <w:rPr>
          <w:rFonts w:ascii="Quicksand" w:hAnsi="Quicksand" w:cs="Quicksand" w:eastAsia="Noto Sans TC"/>
          <w:b w:val="0"/>
          <w:color w:val="080808"/>
          <w:sz w:val="18"/>
        </w:rPr>
        <w:t>Anything involving personal data or an account is written as "handled under the school's existing procedures and the requirements of the law" and noted as recorded in the whole-school AI risk register. No separate incident form.</w:t>
      </w:r>
    </w:p>
    <w:tbl>
      <w:tblPr>
        <w:tblStyle w:val="TableGrid"/>
        <w:tblW w:type="auto" w:w="0"/>
        <w:jc w:val="left"/>
        <w:tblLook w:firstColumn="1" w:firstRow="1" w:lastColumn="0" w:lastRow="0" w:noHBand="0" w:noVBand="1" w:val="04A0"/>
      </w:tblPr>
      <w:tblGrid>
        <w:gridCol w:w="3213"/>
        <w:gridCol w:w="3213"/>
        <w:gridCol w:w="3213"/>
      </w:tblGrid>
      <w:tr>
        <w:tc>
          <w:tcPr>
            <w:tcW w:type="dxa" w:w="2891"/>
            <w:shd w:val="clear" w:fill="E10707"/>
          </w:tcPr>
          <w:p>
            <w:r/>
            <w:r>
              <w:rPr>
                <w:rFonts w:ascii="Quicksand" w:hAnsi="Quicksand" w:cs="Quicksand" w:eastAsia="Noto Sans TC"/>
                <w:b/>
                <w:color w:val="FFFFFF"/>
                <w:sz w:val="20"/>
              </w:rPr>
              <w:t>Term</w:t>
            </w:r>
          </w:p>
        </w:tc>
        <w:tc>
          <w:tcPr>
            <w:tcW w:type="dxa" w:w="3855"/>
            <w:shd w:val="clear" w:fill="E10707"/>
          </w:tcPr>
          <w:p>
            <w:r/>
            <w:r>
              <w:rPr>
                <w:rFonts w:ascii="Quicksand" w:hAnsi="Quicksand" w:cs="Quicksand" w:eastAsia="Noto Sans TC"/>
                <w:b/>
                <w:color w:val="FFFFFF"/>
                <w:sz w:val="20"/>
              </w:rPr>
              <w:t>Post completing it</w:t>
            </w:r>
          </w:p>
        </w:tc>
        <w:tc>
          <w:tcPr>
            <w:tcW w:type="dxa" w:w="2891"/>
            <w:shd w:val="clear" w:fill="E10707"/>
          </w:tcPr>
          <w:p>
            <w:r/>
            <w:r>
              <w:rPr>
                <w:rFonts w:ascii="Quicksand" w:hAnsi="Quicksand" w:cs="Quicksand" w:eastAsia="Noto Sans TC"/>
                <w:b/>
                <w:color w:val="FFFFFF"/>
                <w:sz w:val="20"/>
              </w:rPr>
              <w:t>Last updated</w:t>
            </w:r>
          </w:p>
        </w:tc>
      </w:tr>
      <w:tr>
        <w:tc>
          <w:tcPr>
            <w:tcW w:type="dxa" w:w="2891"/>
          </w:tcPr>
          <w:p>
            <w:r/>
            <w:r>
              <w:rPr>
                <w:rFonts w:ascii="Quicksand" w:hAnsi="Quicksand" w:cs="Quicksand" w:eastAsia="Noto Sans TC"/>
                <w:sz w:val="20"/>
              </w:rPr>
            </w:r>
          </w:p>
        </w:tc>
        <w:tc>
          <w:tcPr>
            <w:tcW w:type="dxa" w:w="3855"/>
          </w:tcPr>
          <w:p>
            <w:r/>
            <w:r>
              <w:rPr>
                <w:rFonts w:ascii="Quicksand" w:hAnsi="Quicksand" w:cs="Quicksand" w:eastAsia="Noto Sans TC"/>
                <w:sz w:val="20"/>
              </w:rPr>
            </w:r>
          </w:p>
        </w:tc>
        <w:tc>
          <w:tcPr>
            <w:tcW w:type="dxa" w:w="2891"/>
          </w:tcPr>
          <w:p>
            <w:r/>
            <w:r>
              <w:rPr>
                <w:rFonts w:ascii="Quicksand" w:hAnsi="Quicksand" w:cs="Quicksand" w:eastAsia="Noto Sans TC"/>
                <w:sz w:val="20"/>
              </w:rPr>
            </w:r>
          </w:p>
        </w:tc>
      </w:tr>
    </w:tbl>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Quicksand" w:hAnsi="Quicksand" w:eastAsia="Noto Sans TC"/>
      <w:color w:val="08080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