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Homework redesign kit: two before-and-after assignments</w:t>
      </w:r>
    </w:p>
    <w:p>
      <w:r>
        <w:rPr>
          <w:rFonts w:ascii="Quicksand" w:hAnsi="Quicksand" w:cs="Quicksand" w:eastAsia="Noto Sans TC"/>
          <w:color w:val="E10707"/>
          <w:sz w:val="18"/>
        </w:rPr>
        <w:t>──────────────────────────────────────────────</w:t>
      </w:r>
    </w:p>
    <w:p>
      <w:r>
        <w:rPr>
          <w:rFonts w:ascii="Quicksand" w:hAnsi="Quicksand" w:cs="Quicksand" w:eastAsia="Noto Sans TC"/>
          <w:b w:val="0"/>
          <w:color w:val="080808"/>
          <w:sz w:val="21"/>
        </w:rPr>
        <w:t>Homework redesign kit: two before-and-after assignments</w:t>
      </w:r>
    </w:p>
    <w:p>
      <w:pPr>
        <w:spacing w:before="240" w:after="80"/>
      </w:pPr>
      <w:r>
        <w:rPr>
          <w:rFonts w:ascii="Quicksand" w:hAnsi="Quicksand" w:cs="Quicksand" w:eastAsia="Noto Sans TC"/>
          <w:b/>
          <w:color w:val="E10707"/>
          <w:sz w:val="28"/>
        </w:rPr>
        <w:t>How to use</w:t>
      </w:r>
    </w:p>
    <w:p>
      <w:pPr>
        <w:pStyle w:val="ListBullet"/>
      </w:pPr>
      <w:r>
        <w:rPr>
          <w:rFonts w:ascii="Quicksand" w:hAnsi="Quicksand" w:cs="Quicksand" w:eastAsia="Noto Sans TC"/>
          <w:sz w:val="21"/>
        </w:rPr>
        <w:t>Read each assignment's "before" version and ask: could a student copy this or hand it to an AI?</w:t>
      </w:r>
    </w:p>
    <w:p>
      <w:pPr>
        <w:pStyle w:val="ListBullet"/>
      </w:pPr>
      <w:r>
        <w:rPr>
          <w:rFonts w:ascii="Quicksand" w:hAnsi="Quicksand" w:cs="Quicksand" w:eastAsia="Noto Sans TC"/>
          <w:sz w:val="21"/>
        </w:rPr>
        <w:t>Read the "after" version and circle each change that makes thinking visible.</w:t>
      </w:r>
    </w:p>
    <w:p>
      <w:pPr>
        <w:pStyle w:val="ListBullet"/>
      </w:pPr>
      <w:r>
        <w:rPr>
          <w:rFonts w:ascii="Quicksand" w:hAnsi="Quicksand" w:cs="Quicksand" w:eastAsia="Noto Sans TC"/>
          <w:sz w:val="21"/>
        </w:rPr>
        <w:t>Use the homework-redesign checklist to review one of your own existing assignments.</w:t>
      </w:r>
    </w:p>
    <w:p>
      <w:pPr>
        <w:pStyle w:val="ListBullet"/>
      </w:pPr>
      <w:r>
        <w:rPr>
          <w:rFonts w:ascii="Quicksand" w:hAnsi="Quicksand" w:cs="Quicksand" w:eastAsia="Noto Sans TC"/>
          <w:sz w:val="21"/>
        </w:rPr>
        <w:t>Write your new version under "My own rewrite".</w:t>
      </w:r>
    </w:p>
    <w:p>
      <w:pPr>
        <w:spacing w:before="240" w:after="80"/>
      </w:pPr>
      <w:r>
        <w:rPr>
          <w:rFonts w:ascii="Quicksand" w:hAnsi="Quicksand" w:cs="Quicksand" w:eastAsia="Noto Sans TC"/>
          <w:b/>
          <w:color w:val="E10707"/>
          <w:sz w:val="28"/>
        </w:rPr>
        <w:t>Example 1 — Chinese Language reading response (P5)</w:t>
      </w:r>
    </w:p>
    <w:p>
      <w:r>
        <w:rPr>
          <w:rFonts w:ascii="Quicksand" w:hAnsi="Quicksand" w:cs="Quicksand" w:eastAsia="Noto Sans TC"/>
          <w:b w:val="0"/>
          <w:color w:val="080808"/>
          <w:sz w:val="21"/>
        </w:rPr>
        <w:t>BEFORE Read the passage chosen by the teacher, then answer: 1. What is the main idea of the passage? 2. What rhetorical device does the writer use? Give one example. 3. Do you agree with the writer's view?</w:t>
      </w:r>
    </w:p>
    <w:p>
      <w:r>
        <w:rPr>
          <w:rFonts w:ascii="Quicksand" w:hAnsi="Quicksand" w:cs="Quicksand" w:eastAsia="Noto Sans TC"/>
          <w:b w:val="0"/>
          <w:color w:val="080808"/>
          <w:sz w:val="21"/>
        </w:rPr>
        <w:t>AFTER 1. State the main idea in one sentence, then circle the one sentence in the passage that best supports what you wrote. 2. Find one rhetorical device, copy the original sentence, and explain in your own words: what does this device make the reader feel? 3. Do you agree with the writer's view? Give one reason of your own — a reason the passage does not already state directly. 4. (Next lesson) In 30 seconds, explain your reason for Question 3 to a partner, who may ask one follow-up question.</w:t>
      </w:r>
    </w:p>
    <w:p>
      <w:pPr>
        <w:spacing w:before="240" w:after="80"/>
      </w:pPr>
      <w:r>
        <w:rPr>
          <w:rFonts w:ascii="Quicksand" w:hAnsi="Quicksand" w:cs="Quicksand" w:eastAsia="Noto Sans TC"/>
          <w:b/>
          <w:color w:val="E10707"/>
          <w:sz w:val="28"/>
        </w:rPr>
        <w:t>Example 2 — Humanities data task (P6)</w:t>
      </w:r>
    </w:p>
    <w:p>
      <w:r>
        <w:rPr>
          <w:rFonts w:ascii="Quicksand" w:hAnsi="Quicksand" w:cs="Quicksand" w:eastAsia="Noto Sans TC"/>
          <w:b w:val="0"/>
          <w:color w:val="080808"/>
          <w:sz w:val="21"/>
        </w:rPr>
        <w:t>BEFORE Research Hong Kong's visitor arrivals in recent years, draw a bar chart, and write down your observations.</w:t>
      </w:r>
    </w:p>
    <w:p>
      <w:r>
        <w:rPr>
          <w:rFonts w:ascii="Quicksand" w:hAnsi="Quicksand" w:cs="Quicksand" w:eastAsia="Noto Sans TC"/>
          <w:b w:val="0"/>
          <w:color w:val="080808"/>
          <w:sz w:val="21"/>
        </w:rPr>
        <w:t>AFTER 1. From the two sources the teacher provides, copy three years' visitor-arrival figures from each, and write the source and year next to each figure. 2. Compare the two sources for the same year: is anything different? Write down the difference you found. 3. Draw the bar chart, then write one sentence on "one thing this chart tells me", quoting a specific part of your own chart. 4. Write one question you want to ask: what does this chart NOT tell you?</w:t>
      </w:r>
    </w:p>
    <w:p>
      <w:r>
        <w:rPr>
          <w:rFonts w:ascii="Quicksand" w:hAnsi="Quicksand" w:cs="Quicksand" w:eastAsia="Noto Sans TC"/>
          <w:b w:val="0"/>
          <w:color w:val="080808"/>
          <w:sz w:val="21"/>
        </w:rPr>
        <w:t>Note: the figures in Example 2 come from the sources the teacher supplies; this kit does not assume any real statistics.</w:t>
      </w:r>
    </w:p>
    <w:p>
      <w:pPr>
        <w:spacing w:before="240" w:after="80"/>
      </w:pPr>
      <w:r>
        <w:rPr>
          <w:rFonts w:ascii="Quicksand" w:hAnsi="Quicksand" w:cs="Quicksand" w:eastAsia="Noto Sans TC"/>
          <w:b/>
          <w:color w:val="E10707"/>
          <w:sz w:val="28"/>
        </w:rPr>
        <w:t>Homework-redesign checklist</w:t>
      </w:r>
    </w:p>
    <w:p>
      <w:r>
        <w:rPr>
          <w:rFonts w:ascii="Quicksand" w:hAnsi="Quicksand" w:cs="Quicksand" w:eastAsia="Noto Sans TC"/>
          <w:b w:val="0"/>
          <w:color w:val="080808"/>
          <w:sz w:val="21"/>
        </w:rPr>
        <w:t>□ Learning objective — before rewriting, write down "what this assignment is for"; does the rewrite still reach it?</w:t>
      </w:r>
    </w:p>
    <w:p>
      <w:r>
        <w:rPr>
          <w:rFonts w:ascii="Quicksand" w:hAnsi="Quicksand" w:cs="Quicksand" w:eastAsia="Noto Sans TC"/>
          <w:b w:val="0"/>
          <w:color w:val="080808"/>
          <w:sz w:val="21"/>
        </w:rPr>
        <w:t>□ Quote evidence — does it ask the student to point to or quote a sentence, a figure or a source, rather than only give a conclusion?</w:t>
      </w:r>
    </w:p>
    <w:p>
      <w:r>
        <w:rPr>
          <w:rFonts w:ascii="Quicksand" w:hAnsi="Quicksand" w:cs="Quicksand" w:eastAsia="Noto Sans TC"/>
          <w:b w:val="0"/>
          <w:color w:val="080808"/>
          <w:sz w:val="21"/>
        </w:rPr>
        <w:t>□ Use own words — does it ask for a paraphrase or explanation, rather than a copy?</w:t>
      </w:r>
    </w:p>
    <w:p>
      <w:r>
        <w:rPr>
          <w:rFonts w:ascii="Quicksand" w:hAnsi="Quicksand" w:cs="Quicksand" w:eastAsia="Noto Sans TC"/>
          <w:b w:val="0"/>
          <w:color w:val="080808"/>
          <w:sz w:val="21"/>
        </w:rPr>
        <w:t>□ Personal reason — does it ask for a personal response that cannot be copied straight from the material?</w:t>
      </w:r>
    </w:p>
    <w:p>
      <w:r>
        <w:rPr>
          <w:rFonts w:ascii="Quicksand" w:hAnsi="Quicksand" w:cs="Quicksand" w:eastAsia="Noto Sans TC"/>
          <w:b w:val="0"/>
          <w:color w:val="080808"/>
          <w:sz w:val="21"/>
        </w:rPr>
        <w:t>□ Oral explanation — does it ask the student to explain a small part aloud next lesson (so copying is hard to hide)?</w:t>
      </w:r>
    </w:p>
    <w:p>
      <w:r>
        <w:rPr>
          <w:rFonts w:ascii="Quicksand" w:hAnsi="Quicksand" w:cs="Quicksand" w:eastAsia="Noto Sans TC"/>
          <w:b w:val="0"/>
          <w:color w:val="080808"/>
          <w:sz w:val="21"/>
        </w:rPr>
        <w:t>□ Checking — does it ask the student to compare sources, find a contradiction, or mark "I am not sure"?</w:t>
      </w:r>
    </w:p>
    <w:p>
      <w:r>
        <w:rPr>
          <w:rFonts w:ascii="Quicksand" w:hAnsi="Quicksand" w:cs="Quicksand" w:eastAsia="Noto Sans TC"/>
          <w:b w:val="0"/>
          <w:color w:val="080808"/>
          <w:sz w:val="21"/>
        </w:rPr>
        <w:t>□ Time — is the time required after rewriting about the same as before?</w:t>
      </w:r>
    </w:p>
    <w:p>
      <w:r>
        <w:rPr>
          <w:rFonts w:ascii="Quicksand" w:hAnsi="Quicksand" w:cs="Quicksand" w:eastAsia="Noto Sans TC"/>
          <w:b w:val="0"/>
          <w:color w:val="080808"/>
          <w:sz w:val="21"/>
        </w:rPr>
        <w:t>□ AI rules — does it state clearly whether students may use AI, and how they must declare it if they do?</w:t>
      </w:r>
    </w:p>
    <w:p>
      <w:pPr>
        <w:spacing w:before="240" w:after="80"/>
      </w:pPr>
      <w:r>
        <w:rPr>
          <w:rFonts w:ascii="Quicksand" w:hAnsi="Quicksand" w:cs="Quicksand" w:eastAsia="Noto Sans TC"/>
          <w:b/>
          <w:color w:val="E10707"/>
          <w:sz w:val="28"/>
        </w:rPr>
        <w:t>My own rewrite</w:t>
      </w:r>
    </w:p>
    <w:p>
      <w:r>
        <w:rPr>
          <w:rFonts w:ascii="Quicksand" w:hAnsi="Quicksand" w:cs="Quicksand" w:eastAsia="Noto Sans TC"/>
          <w:b w:val="0"/>
          <w:color w:val="080808"/>
          <w:sz w:val="21"/>
        </w:rPr>
        <w:t>Assignment name: ________________________________________</w:t>
      </w:r>
    </w:p>
    <w:p>
      <w:r>
        <w:rPr>
          <w:rFonts w:ascii="Quicksand" w:hAnsi="Quicksand" w:cs="Quicksand" w:eastAsia="Noto Sans TC"/>
          <w:b w:val="0"/>
          <w:color w:val="080808"/>
          <w:sz w:val="21"/>
        </w:rPr>
        <w:t>Learning objective: ________________________________________</w:t>
      </w:r>
    </w:p>
    <w:p>
      <w:r>
        <w:rPr>
          <w:rFonts w:ascii="Quicksand" w:hAnsi="Quicksand" w:cs="Quicksand" w:eastAsia="Noto Sans TC"/>
          <w:b w:val="0"/>
          <w:color w:val="080808"/>
          <w:sz w:val="21"/>
        </w:rPr>
        <w:t>Before version:</w:t>
      </w:r>
    </w:p>
    <w:p>
      <w:r>
        <w:rPr>
          <w:rFonts w:ascii="Quicksand" w:hAnsi="Quicksand" w:cs="Quicksand" w:eastAsia="Noto Sans TC"/>
          <w:b w:val="0"/>
          <w:color w:val="080808"/>
          <w:sz w:val="21"/>
        </w:rPr>
        <w:t>After version:</w:t>
      </w:r>
    </w:p>
    <w:p>
      <w:pPr>
        <w:spacing w:before="240" w:after="80"/>
      </w:pPr>
      <w:r>
        <w:rPr>
          <w:rFonts w:ascii="Quicksand" w:hAnsi="Quicksand" w:cs="Quicksand" w:eastAsia="Noto Sans TC"/>
          <w:b/>
          <w:color w:val="E10707"/>
          <w:sz w:val="28"/>
        </w:rPr>
        <w:t>Answer key</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Change</w:t>
            </w:r>
          </w:p>
        </w:tc>
        <w:tc>
          <w:tcPr>
            <w:tcW w:type="dxa" w:w="2570"/>
            <w:shd w:val="clear" w:fill="E10707"/>
          </w:tcPr>
          <w:p>
            <w:r/>
            <w:r>
              <w:rPr>
                <w:rFonts w:ascii="Quicksand" w:hAnsi="Quicksand" w:cs="Quicksand" w:eastAsia="Noto Sans TC"/>
                <w:b/>
                <w:color w:val="FFFFFF"/>
                <w:sz w:val="20"/>
              </w:rPr>
              <w:t>Why</w:t>
            </w:r>
          </w:p>
        </w:tc>
      </w:tr>
      <w:tr>
        <w:tc>
          <w:tcPr>
            <w:tcW w:type="dxa" w:w="7068"/>
          </w:tcPr>
          <w:p>
            <w:r/>
            <w:r>
              <w:rPr>
                <w:rFonts w:ascii="Quicksand" w:hAnsi="Quicksand" w:cs="Quicksand" w:eastAsia="Noto Sans TC"/>
                <w:sz w:val="20"/>
              </w:rPr>
              <w:t>Q1 asks for the supporting sentence</w:t>
            </w:r>
          </w:p>
        </w:tc>
        <w:tc>
          <w:tcPr>
            <w:tcW w:type="dxa" w:w="2570"/>
          </w:tcPr>
          <w:p>
            <w:r/>
            <w:r>
              <w:rPr>
                <w:rFonts w:ascii="Quicksand" w:hAnsi="Quicksand" w:cs="Quicksand" w:eastAsia="Noto Sans TC"/>
                <w:sz w:val="20"/>
              </w:rPr>
              <w:t>The student must go back to the text to find evidence; an AI can state the main idea, but "which sentence you circled" shows whether the student actually read.</w:t>
            </w:r>
          </w:p>
        </w:tc>
      </w:tr>
      <w:tr>
        <w:tc>
          <w:tcPr>
            <w:tcW w:type="dxa" w:w="7068"/>
          </w:tcPr>
          <w:p>
            <w:r/>
            <w:r>
              <w:rPr>
                <w:rFonts w:ascii="Quicksand" w:hAnsi="Quicksand" w:cs="Quicksand" w:eastAsia="Noto Sans TC"/>
                <w:sz w:val="20"/>
              </w:rPr>
              <w:t>Q2 asks for an explanation "in your own words"</w:t>
            </w:r>
          </w:p>
        </w:tc>
        <w:tc>
          <w:tcPr>
            <w:tcW w:type="dxa" w:w="2570"/>
          </w:tcPr>
          <w:p>
            <w:r/>
            <w:r>
              <w:rPr>
                <w:rFonts w:ascii="Quicksand" w:hAnsi="Quicksand" w:cs="Quicksand" w:eastAsia="Noto Sans TC"/>
                <w:sz w:val="20"/>
              </w:rPr>
              <w:t>The answer cannot be copied from a model answer; it must be paraphrased, and the quality of the paraphrase shows understanding.</w:t>
            </w:r>
          </w:p>
        </w:tc>
      </w:tr>
      <w:tr>
        <w:tc>
          <w:tcPr>
            <w:tcW w:type="dxa" w:w="7068"/>
          </w:tcPr>
          <w:p>
            <w:r/>
            <w:r>
              <w:rPr>
                <w:rFonts w:ascii="Quicksand" w:hAnsi="Quicksand" w:cs="Quicksand" w:eastAsia="Noto Sans TC"/>
                <w:sz w:val="20"/>
              </w:rPr>
              <w:t>Q3 asks for a personal reason not already in the text</w:t>
            </w:r>
          </w:p>
        </w:tc>
        <w:tc>
          <w:tcPr>
            <w:tcW w:type="dxa" w:w="2570"/>
          </w:tcPr>
          <w:p>
            <w:r/>
            <w:r>
              <w:rPr>
                <w:rFonts w:ascii="Quicksand" w:hAnsi="Quicksand" w:cs="Quicksand" w:eastAsia="Noto Sans TC"/>
                <w:sz w:val="20"/>
              </w:rPr>
              <w:t>It forces a genuine response; an AI gives generic answers, while a specific personal reason is hard to ghost-write.</w:t>
            </w:r>
          </w:p>
        </w:tc>
      </w:tr>
      <w:tr>
        <w:tc>
          <w:tcPr>
            <w:tcW w:type="dxa" w:w="7068"/>
          </w:tcPr>
          <w:p>
            <w:r/>
            <w:r>
              <w:rPr>
                <w:rFonts w:ascii="Quicksand" w:hAnsi="Quicksand" w:cs="Quicksand" w:eastAsia="Noto Sans TC"/>
                <w:sz w:val="20"/>
              </w:rPr>
              <w:t>Q4 adds an oral explanation and a follow-up question</w:t>
            </w:r>
          </w:p>
        </w:tc>
        <w:tc>
          <w:tcPr>
            <w:tcW w:type="dxa" w:w="2570"/>
          </w:tcPr>
          <w:p>
            <w:r/>
            <w:r>
              <w:rPr>
                <w:rFonts w:ascii="Quicksand" w:hAnsi="Quicksand" w:cs="Quicksand" w:eastAsia="Noto Sans TC"/>
                <w:sz w:val="20"/>
              </w:rPr>
              <w:t>A copied answer falls apart under a follow-up question; the student must genuinely understand.</w:t>
            </w:r>
          </w:p>
        </w:tc>
      </w:tr>
    </w:tbl>
    <w:p>
      <w:r>
        <w:rPr>
          <w:rFonts w:ascii="Quicksand" w:hAnsi="Quicksand" w:cs="Quicksand" w:eastAsia="Noto Sans TC"/>
          <w:b w:val="0"/>
          <w:color w:val="080808"/>
          <w:sz w:val="21"/>
        </w:rPr>
        <w:t>What a good answer contains: (1) the quoted sentence is genuinely relevant to the main idea; (2) the "own words" explanation differs from the original but is correct in meaning; (3) the personal reason is specific and tied to the text; (4) the oral explanation survives a follow-up question without stalling.</w:t>
      </w:r>
    </w:p>
    <w:tbl>
      <w:tblPr>
        <w:tblStyle w:val="TableGrid"/>
        <w:tblW w:type="auto" w:w="0"/>
        <w:jc w:val="left"/>
        <w:tblLook w:firstColumn="1" w:firstRow="1" w:lastColumn="0" w:lastRow="0" w:noHBand="0" w:noVBand="1" w:val="04A0"/>
      </w:tblPr>
      <w:tblGrid>
        <w:gridCol w:w="4819"/>
        <w:gridCol w:w="4819"/>
      </w:tblGrid>
      <w:tr>
        <w:tc>
          <w:tcPr>
            <w:tcW w:type="dxa" w:w="7068"/>
            <w:shd w:val="clear" w:fill="E10707"/>
          </w:tcPr>
          <w:p>
            <w:r/>
            <w:r>
              <w:rPr>
                <w:rFonts w:ascii="Quicksand" w:hAnsi="Quicksand" w:cs="Quicksand" w:eastAsia="Noto Sans TC"/>
                <w:b/>
                <w:color w:val="FFFFFF"/>
                <w:sz w:val="20"/>
              </w:rPr>
              <w:t>Change</w:t>
            </w:r>
          </w:p>
        </w:tc>
        <w:tc>
          <w:tcPr>
            <w:tcW w:type="dxa" w:w="2570"/>
            <w:shd w:val="clear" w:fill="E10707"/>
          </w:tcPr>
          <w:p>
            <w:r/>
            <w:r>
              <w:rPr>
                <w:rFonts w:ascii="Quicksand" w:hAnsi="Quicksand" w:cs="Quicksand" w:eastAsia="Noto Sans TC"/>
                <w:b/>
                <w:color w:val="FFFFFF"/>
                <w:sz w:val="20"/>
              </w:rPr>
              <w:t>Why</w:t>
            </w:r>
          </w:p>
        </w:tc>
      </w:tr>
      <w:tr>
        <w:tc>
          <w:tcPr>
            <w:tcW w:type="dxa" w:w="7068"/>
          </w:tcPr>
          <w:p>
            <w:r/>
            <w:r>
              <w:rPr>
                <w:rFonts w:ascii="Quicksand" w:hAnsi="Quicksand" w:cs="Quicksand" w:eastAsia="Noto Sans TC"/>
                <w:sz w:val="20"/>
              </w:rPr>
              <w:t>Record the source and year for each figure</w:t>
            </w:r>
          </w:p>
        </w:tc>
        <w:tc>
          <w:tcPr>
            <w:tcW w:type="dxa" w:w="2570"/>
          </w:tcPr>
          <w:p>
            <w:r/>
            <w:r>
              <w:rPr>
                <w:rFonts w:ascii="Quicksand" w:hAnsi="Quicksand" w:cs="Quicksand" w:eastAsia="Noto Sans TC"/>
                <w:sz w:val="20"/>
              </w:rPr>
              <w:t>Every figure must have a provenance; copying or AI cannot explain "where you got it".</w:t>
            </w:r>
          </w:p>
        </w:tc>
      </w:tr>
      <w:tr>
        <w:tc>
          <w:tcPr>
            <w:tcW w:type="dxa" w:w="7068"/>
          </w:tcPr>
          <w:p>
            <w:r/>
            <w:r>
              <w:rPr>
                <w:rFonts w:ascii="Quicksand" w:hAnsi="Quicksand" w:cs="Quicksand" w:eastAsia="Noto Sans TC"/>
                <w:sz w:val="20"/>
              </w:rPr>
              <w:t>Compare two sources and find a difference</w:t>
            </w:r>
          </w:p>
        </w:tc>
        <w:tc>
          <w:tcPr>
            <w:tcW w:type="dxa" w:w="2570"/>
          </w:tcPr>
          <w:p>
            <w:r/>
            <w:r>
              <w:rPr>
                <w:rFonts w:ascii="Quicksand" w:hAnsi="Quicksand" w:cs="Quicksand" w:eastAsia="Noto Sans TC"/>
                <w:sz w:val="20"/>
              </w:rPr>
              <w:t>This is a checking behaviour that shows whether the student really verified.</w:t>
            </w:r>
          </w:p>
        </w:tc>
      </w:tr>
      <w:tr>
        <w:tc>
          <w:tcPr>
            <w:tcW w:type="dxa" w:w="7068"/>
          </w:tcPr>
          <w:p>
            <w:r/>
            <w:r>
              <w:rPr>
                <w:rFonts w:ascii="Quicksand" w:hAnsi="Quicksand" w:cs="Quicksand" w:eastAsia="Noto Sans TC"/>
                <w:sz w:val="20"/>
              </w:rPr>
              <w:t>The observation must quote the student's own chart</w:t>
            </w:r>
          </w:p>
        </w:tc>
        <w:tc>
          <w:tcPr>
            <w:tcW w:type="dxa" w:w="2570"/>
          </w:tcPr>
          <w:p>
            <w:r/>
            <w:r>
              <w:rPr>
                <w:rFonts w:ascii="Quicksand" w:hAnsi="Quicksand" w:cs="Quicksand" w:eastAsia="Noto Sans TC"/>
                <w:sz w:val="20"/>
              </w:rPr>
              <w:t>The conclusion must be tied to the student's own work, not a generic restatement.</w:t>
            </w:r>
          </w:p>
        </w:tc>
      </w:tr>
      <w:tr>
        <w:tc>
          <w:tcPr>
            <w:tcW w:type="dxa" w:w="7068"/>
          </w:tcPr>
          <w:p>
            <w:r/>
            <w:r>
              <w:rPr>
                <w:rFonts w:ascii="Quicksand" w:hAnsi="Quicksand" w:cs="Quicksand" w:eastAsia="Noto Sans TC"/>
                <w:sz w:val="20"/>
              </w:rPr>
              <w:t>Ask what the chart does not show</w:t>
            </w:r>
          </w:p>
        </w:tc>
        <w:tc>
          <w:tcPr>
            <w:tcW w:type="dxa" w:w="2570"/>
          </w:tcPr>
          <w:p>
            <w:r/>
            <w:r>
              <w:rPr>
                <w:rFonts w:ascii="Quicksand" w:hAnsi="Quicksand" w:cs="Quicksand" w:eastAsia="Noto Sans TC"/>
                <w:sz w:val="20"/>
              </w:rPr>
              <w:t>This forces higher-order thinking; an AI can describe a trend but struggles with the limits of the data.</w:t>
            </w:r>
          </w:p>
        </w:tc>
      </w:tr>
    </w:tbl>
    <w:p>
      <w:r>
        <w:rPr>
          <w:rFonts w:ascii="Quicksand" w:hAnsi="Quicksand" w:cs="Quicksand" w:eastAsia="Noto Sans TC"/>
          <w:b w:val="0"/>
          <w:color w:val="080808"/>
          <w:sz w:val="21"/>
        </w:rPr>
        <w:t>What a good answer contains: (1) every figure has a traceable source and year; (2) the student can name a specific difference between the two sources; (3) the observation quotes a specific year or value from the chart; (4) the follow-up question is about something the chart genuinely does not cover.</w:t>
      </w:r>
    </w:p>
    <w:p>
      <w:r>
        <w:rPr>
          <w:rFonts w:ascii="Quicksand" w:hAnsi="Quicksand" w:cs="Quicksand" w:eastAsia="Noto Sans TC"/>
          <w:b w:val="0"/>
          <w:color w:val="080808"/>
          <w:sz w:val="21"/>
        </w:rPr>
        <w:t>Core idea: the point of redesigning is not to make the assignment longer or harder. Under the same learning objective and the same time required, add "quote evidence, use your own words, give a personal reason, explain orally" so that copying and AI-generated work stop being useful, and the thinking process shows itself.</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