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AI tool selection and procurement scoring table</w:t>
      </w:r>
    </w:p>
    <w:p>
      <w:r>
        <w:rPr>
          <w:sz w:val="20"/>
        </w:rPr>
        <w:t>P1-S6 school planning · six criteria (100 points) · tool data sheet · trial record · three-year cost comparison · funding record</w:t>
      </w:r>
    </w:p>
    <w:p>
      <w:r>
        <w:t>──────────────────────────────────────────────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1701"/>
          </w:tcPr>
          <w:p>
            <w:r/>
            <w:r>
              <w:rPr>
                <w:b/>
                <w:sz w:val="19"/>
              </w:rPr>
              <w:t>School:</w:t>
            </w:r>
          </w:p>
        </w:tc>
        <w:tc>
          <w:tcPr>
            <w:tcW w:type="dxa" w:w="2835"/>
          </w:tcPr>
          <w:p>
            <w:r/>
            <w:r>
              <w:rPr>
                <w:b/>
                <w:sz w:val="19"/>
              </w:rPr>
              <w:t>[                        ]</w:t>
            </w:r>
          </w:p>
        </w:tc>
        <w:tc>
          <w:tcPr>
            <w:tcW w:type="dxa" w:w="1701"/>
          </w:tcPr>
          <w:p>
            <w:r/>
            <w:r>
              <w:rPr>
                <w:b/>
                <w:sz w:val="19"/>
              </w:rPr>
              <w:t>Selection date:</w:t>
            </w:r>
          </w:p>
        </w:tc>
        <w:tc>
          <w:tcPr>
            <w:tcW w:type="dxa" w:w="2835"/>
          </w:tcPr>
          <w:p>
            <w:r/>
            <w:r>
              <w:rPr>
                <w:b/>
                <w:sz w:val="19"/>
              </w:rPr>
              <w:t>[                        ]</w:t>
            </w:r>
          </w:p>
        </w:tc>
      </w:tr>
      <w:tr>
        <w:tc>
          <w:tcPr>
            <w:tcW w:type="dxa" w:w="1701"/>
          </w:tcPr>
          <w:p>
            <w:pPr>
              <w:spacing w:line="276" w:lineRule="auto"/>
            </w:pPr>
            <w:r/>
            <w:r>
              <w:rPr>
                <w:sz w:val="19"/>
              </w:rPr>
              <w:t>Completed by:</w:t>
            </w:r>
          </w:p>
        </w:tc>
        <w:tc>
          <w:tcPr>
            <w:tcW w:type="dxa" w:w="2835"/>
          </w:tcPr>
          <w:p>
            <w:pPr>
              <w:spacing w:line="276" w:lineRule="auto"/>
            </w:pPr>
            <w:r/>
            <w:r>
              <w:rPr>
                <w:sz w:val="19"/>
              </w:rPr>
              <w:t>[                        ]</w:t>
            </w:r>
          </w:p>
        </w:tc>
        <w:tc>
          <w:tcPr>
            <w:tcW w:type="dxa" w:w="1701"/>
          </w:tcPr>
          <w:p>
            <w:pPr>
              <w:spacing w:line="276" w:lineRule="auto"/>
            </w:pPr>
            <w:r/>
            <w:r>
              <w:rPr>
                <w:sz w:val="19"/>
              </w:rPr>
              <w:t>Review date:</w:t>
            </w:r>
          </w:p>
        </w:tc>
        <w:tc>
          <w:tcPr>
            <w:tcW w:type="dxa" w:w="2835"/>
          </w:tcPr>
          <w:p>
            <w:pPr>
              <w:spacing w:line="276" w:lineRule="auto"/>
            </w:pPr>
            <w:r/>
            <w:r>
              <w:rPr>
                <w:sz w:val="19"/>
              </w:rPr>
              <w:t>[                        ]</w:t>
            </w:r>
          </w:p>
        </w:tc>
      </w:tr>
    </w:tbl>
    <w:p/>
    <w:p>
      <w:r>
        <w:rPr>
          <w:i/>
          <w:sz w:val="19"/>
        </w:rPr>
        <w:t>The six criteria and their weights are this resource's recommendation, not an Education Bureau requirement. A school may adjust them, but the change must be written down before scoring, with the reason recorded. No commercial tool is named anywhere in this table: tools appear as Tool A, Tool B and Tool C.</w:t>
      </w:r>
    </w:p>
    <w:p>
      <w:pPr>
        <w:spacing w:before="240"/>
      </w:pPr>
      <w:r>
        <w:rPr>
          <w:b/>
          <w:sz w:val="26"/>
        </w:rPr>
        <w:t>Part 1 - six criteria and their weights (100 points in total)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1814"/>
          </w:tcPr>
          <w:p>
            <w:r/>
            <w:r>
              <w:rPr>
                <w:b/>
                <w:sz w:val="19"/>
              </w:rPr>
              <w:t>Criterion</w:t>
            </w:r>
          </w:p>
        </w:tc>
        <w:tc>
          <w:tcPr>
            <w:tcW w:type="dxa" w:w="907"/>
          </w:tcPr>
          <w:p>
            <w:r/>
            <w:r>
              <w:rPr>
                <w:b/>
                <w:sz w:val="19"/>
              </w:rPr>
              <w:t>Weight</w:t>
            </w:r>
          </w:p>
        </w:tc>
        <w:tc>
          <w:tcPr>
            <w:tcW w:type="dxa" w:w="6350"/>
          </w:tcPr>
          <w:p>
            <w:r/>
            <w:r>
              <w:rPr>
                <w:b/>
                <w:sz w:val="19"/>
              </w:rPr>
              <w:t>What to look at when scoring</w:t>
            </w:r>
          </w:p>
        </w:tc>
      </w:tr>
      <w:tr>
        <w:tc>
          <w:tcPr>
            <w:tcW w:type="dxa" w:w="1814"/>
          </w:tcPr>
          <w:p>
            <w:pPr>
              <w:spacing w:line="276" w:lineRule="auto"/>
            </w:pPr>
            <w:r/>
            <w:r>
              <w:rPr>
                <w:sz w:val="19"/>
              </w:rPr>
              <w:t>Teaching fit</w:t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  <w:t>25</w:t>
            </w:r>
          </w:p>
        </w:tc>
        <w:tc>
          <w:tcPr>
            <w:tcW w:type="dxa" w:w="6350"/>
          </w:tcPr>
          <w:p>
            <w:pPr>
              <w:spacing w:line="276" w:lineRule="auto"/>
            </w:pPr>
            <w:r/>
            <w:r>
              <w:rPr>
                <w:sz w:val="19"/>
              </w:rPr>
              <w:t>Which learning stage, learning strand and subject unit; whether a teacher can set the task and the content; whether the task genuinely needs this tool</w:t>
            </w:r>
          </w:p>
        </w:tc>
      </w:tr>
      <w:tr>
        <w:tc>
          <w:tcPr>
            <w:tcW w:type="dxa" w:w="1814"/>
          </w:tcPr>
          <w:p>
            <w:pPr>
              <w:spacing w:line="276" w:lineRule="auto"/>
            </w:pPr>
            <w:r/>
            <w:r>
              <w:rPr>
                <w:sz w:val="19"/>
              </w:rPr>
              <w:t>Data and privacy</w:t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  <w:t>20</w:t>
            </w:r>
          </w:p>
        </w:tc>
        <w:tc>
          <w:tcPr>
            <w:tcW w:type="dxa" w:w="6350"/>
          </w:tcPr>
          <w:p>
            <w:pPr>
              <w:spacing w:line="276" w:lineRule="auto"/>
            </w:pPr>
            <w:r/>
            <w:r>
              <w:rPr>
                <w:sz w:val="19"/>
              </w:rPr>
              <w:t>Where student data is stored and for how long; whether student accounts can be avoided; whether training use can be switched off; how deletion is requested</w:t>
            </w:r>
          </w:p>
        </w:tc>
      </w:tr>
      <w:tr>
        <w:tc>
          <w:tcPr>
            <w:tcW w:type="dxa" w:w="1814"/>
          </w:tcPr>
          <w:p>
            <w:pPr>
              <w:spacing w:line="276" w:lineRule="auto"/>
            </w:pPr>
            <w:r/>
            <w:r>
              <w:rPr>
                <w:sz w:val="19"/>
              </w:rPr>
              <w:t>Licensing and copyright</w:t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  <w:t>15</w:t>
            </w:r>
          </w:p>
        </w:tc>
        <w:tc>
          <w:tcPr>
            <w:tcW w:type="dxa" w:w="6350"/>
          </w:tcPr>
          <w:p>
            <w:pPr>
              <w:spacing w:line="276" w:lineRule="auto"/>
            </w:pPr>
            <w:r/>
            <w:r>
              <w:rPr>
                <w:sz w:val="19"/>
              </w:rPr>
              <w:t>Number of accounts and sharing rules; who owns the materials a teacher makes; terms attached to student work; whether outputs can be reused in school</w:t>
            </w:r>
          </w:p>
        </w:tc>
      </w:tr>
      <w:tr>
        <w:tc>
          <w:tcPr>
            <w:tcW w:type="dxa" w:w="1814"/>
          </w:tcPr>
          <w:p>
            <w:pPr>
              <w:spacing w:line="276" w:lineRule="auto"/>
            </w:pPr>
            <w:r/>
            <w:r>
              <w:rPr>
                <w:sz w:val="19"/>
              </w:rPr>
              <w:t>Sustainable cost</w:t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  <w:t>15</w:t>
            </w:r>
          </w:p>
        </w:tc>
        <w:tc>
          <w:tcPr>
            <w:tcW w:type="dxa" w:w="6350"/>
          </w:tcPr>
          <w:p>
            <w:pPr>
              <w:spacing w:line="276" w:lineRule="auto"/>
            </w:pPr>
            <w:r/>
            <w:r>
              <w:rPr>
                <w:sz w:val="19"/>
              </w:rPr>
              <w:t>Three-year total; price-increase or renewal terms from year two; per-seat or per-class pricing; exchange rate and tax</w:t>
            </w:r>
          </w:p>
        </w:tc>
      </w:tr>
      <w:tr>
        <w:tc>
          <w:tcPr>
            <w:tcW w:type="dxa" w:w="1814"/>
          </w:tcPr>
          <w:p>
            <w:pPr>
              <w:spacing w:line="276" w:lineRule="auto"/>
            </w:pPr>
            <w:r/>
            <w:r>
              <w:rPr>
                <w:sz w:val="19"/>
              </w:rPr>
              <w:t>Support and training</w:t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  <w:t>15</w:t>
            </w:r>
          </w:p>
        </w:tc>
        <w:tc>
          <w:tcPr>
            <w:tcW w:type="dxa" w:w="6350"/>
          </w:tcPr>
          <w:p>
            <w:pPr>
              <w:spacing w:line="276" w:lineRule="auto"/>
            </w:pPr>
            <w:r/>
            <w:r>
              <w:rPr>
                <w:sz w:val="19"/>
              </w:rPr>
              <w:t>When Chinese-language support is available; whether teacher training is included; who handles first-line problems in school; whether usable teaching examples exist</w:t>
            </w:r>
          </w:p>
        </w:tc>
      </w:tr>
      <w:tr>
        <w:tc>
          <w:tcPr>
            <w:tcW w:type="dxa" w:w="1814"/>
          </w:tcPr>
          <w:p>
            <w:pPr>
              <w:spacing w:line="276" w:lineRule="auto"/>
            </w:pPr>
            <w:r/>
            <w:r>
              <w:rPr>
                <w:sz w:val="19"/>
              </w:rPr>
              <w:t>Exit arrangement</w:t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  <w:t>10</w:t>
            </w:r>
          </w:p>
        </w:tc>
        <w:tc>
          <w:tcPr>
            <w:tcW w:type="dxa" w:w="6350"/>
          </w:tcPr>
          <w:p>
            <w:pPr>
              <w:spacing w:line="276" w:lineRule="auto"/>
            </w:pPr>
            <w:r/>
            <w:r>
              <w:rPr>
                <w:sz w:val="19"/>
              </w:rPr>
              <w:t>Whether data exports in bulk and in what format; whether materials can be taken away; minimum term and notice period; data handling on termination</w:t>
            </w:r>
          </w:p>
        </w:tc>
      </w:tr>
      <w:tr>
        <w:tc>
          <w:tcPr>
            <w:tcW w:type="dxa" w:w="1814"/>
          </w:tcPr>
          <w:p>
            <w:pPr>
              <w:spacing w:line="276" w:lineRule="auto"/>
            </w:pPr>
            <w:r/>
            <w:r>
              <w:rPr>
                <w:sz w:val="19"/>
              </w:rPr>
              <w:t>Total</w:t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  <w:t>100</w:t>
            </w:r>
          </w:p>
        </w:tc>
        <w:tc>
          <w:tcPr>
            <w:tcW w:type="dxa" w:w="635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</w:tbl>
    <w:p/>
    <w:p>
      <w:r>
        <w:t>How to score: rate each criterion 0 to 4 (0 = does not meet it at all, 4 = fully meets it), then the score is the rating / 4 x the weight. The six together give the total out of 100.</w:t>
      </w:r>
    </w:p>
    <w:p>
      <w:pPr>
        <w:spacing w:before="160"/>
      </w:pPr>
      <w:r>
        <w:rPr>
          <w:b/>
          <w:sz w:val="22"/>
        </w:rPr>
        <w:t>Score sheet (one per candidate tool)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361"/>
          </w:tcPr>
          <w:p>
            <w:r/>
            <w:r>
              <w:rPr>
                <w:b/>
                <w:sz w:val="19"/>
              </w:rPr>
              <w:t>Tool code</w:t>
            </w:r>
          </w:p>
        </w:tc>
        <w:tc>
          <w:tcPr>
            <w:tcW w:type="dxa" w:w="2494"/>
          </w:tcPr>
          <w:p>
            <w:r/>
            <w:r>
              <w:rPr>
                <w:b/>
                <w:sz w:val="19"/>
              </w:rPr>
              <w:t>Criterion</w:t>
            </w:r>
          </w:p>
        </w:tc>
        <w:tc>
          <w:tcPr>
            <w:tcW w:type="dxa" w:w="1587"/>
          </w:tcPr>
          <w:p>
            <w:r/>
            <w:r>
              <w:rPr>
                <w:b/>
                <w:sz w:val="19"/>
              </w:rPr>
              <w:t>Rating (0-4)</w:t>
            </w:r>
          </w:p>
        </w:tc>
        <w:tc>
          <w:tcPr>
            <w:tcW w:type="dxa" w:w="1361"/>
          </w:tcPr>
          <w:p>
            <w:r/>
            <w:r>
              <w:rPr>
                <w:b/>
                <w:sz w:val="19"/>
              </w:rPr>
              <w:t>Score</w:t>
            </w:r>
          </w:p>
        </w:tc>
        <w:tc>
          <w:tcPr>
            <w:tcW w:type="dxa" w:w="2835"/>
          </w:tcPr>
          <w:p>
            <w:r/>
            <w:r>
              <w:rPr>
                <w:b/>
                <w:sz w:val="19"/>
              </w:rPr>
              <w:t>Reason (one line)</w:t>
            </w:r>
          </w:p>
        </w:tc>
      </w:tr>
      <w:tr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  <w:t>Tool A</w:t>
            </w:r>
          </w:p>
        </w:tc>
        <w:tc>
          <w:tcPr>
            <w:tcW w:type="dxa" w:w="2494"/>
          </w:tcPr>
          <w:p>
            <w:pPr>
              <w:spacing w:line="276" w:lineRule="auto"/>
            </w:pPr>
            <w:r/>
            <w:r>
              <w:rPr>
                <w:sz w:val="19"/>
              </w:rPr>
              <w:t>Teaching fit (25)</w:t>
            </w:r>
          </w:p>
        </w:tc>
        <w:tc>
          <w:tcPr>
            <w:tcW w:type="dxa" w:w="158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</w:tcPr>
          <w:p>
            <w:pPr>
              <w:spacing w:line="276" w:lineRule="auto"/>
            </w:pPr>
            <w:r/>
            <w:r>
              <w:rPr>
                <w:sz w:val="19"/>
              </w:rPr>
              <w:t>Data and privacy (20)</w:t>
            </w:r>
          </w:p>
        </w:tc>
        <w:tc>
          <w:tcPr>
            <w:tcW w:type="dxa" w:w="158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</w:tcPr>
          <w:p>
            <w:pPr>
              <w:spacing w:line="276" w:lineRule="auto"/>
            </w:pPr>
            <w:r/>
            <w:r>
              <w:rPr>
                <w:sz w:val="19"/>
              </w:rPr>
              <w:t>Licensing and copyright (15)</w:t>
            </w:r>
          </w:p>
        </w:tc>
        <w:tc>
          <w:tcPr>
            <w:tcW w:type="dxa" w:w="158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</w:tcPr>
          <w:p>
            <w:pPr>
              <w:spacing w:line="276" w:lineRule="auto"/>
            </w:pPr>
            <w:r/>
            <w:r>
              <w:rPr>
                <w:sz w:val="19"/>
              </w:rPr>
              <w:t>Sustainable cost (15)</w:t>
            </w:r>
          </w:p>
        </w:tc>
        <w:tc>
          <w:tcPr>
            <w:tcW w:type="dxa" w:w="158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</w:tcPr>
          <w:p>
            <w:pPr>
              <w:spacing w:line="276" w:lineRule="auto"/>
            </w:pPr>
            <w:r/>
            <w:r>
              <w:rPr>
                <w:sz w:val="19"/>
              </w:rPr>
              <w:t>Support and training (15)</w:t>
            </w:r>
          </w:p>
        </w:tc>
        <w:tc>
          <w:tcPr>
            <w:tcW w:type="dxa" w:w="158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</w:tcPr>
          <w:p>
            <w:pPr>
              <w:spacing w:line="276" w:lineRule="auto"/>
            </w:pPr>
            <w:r/>
            <w:r>
              <w:rPr>
                <w:sz w:val="19"/>
              </w:rPr>
              <w:t>Exit arrangement (10)</w:t>
            </w:r>
          </w:p>
        </w:tc>
        <w:tc>
          <w:tcPr>
            <w:tcW w:type="dxa" w:w="158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494"/>
          </w:tcPr>
          <w:p>
            <w:pPr>
              <w:spacing w:line="276" w:lineRule="auto"/>
            </w:pPr>
            <w:r/>
            <w:r>
              <w:rPr>
                <w:sz w:val="19"/>
              </w:rPr>
              <w:t>Total (100)</w:t>
            </w:r>
          </w:p>
        </w:tc>
        <w:tc>
          <w:tcPr>
            <w:tcW w:type="dxa" w:w="158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835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</w:tbl>
    <w:p/>
    <w:p>
      <w:pPr>
        <w:spacing w:before="240"/>
      </w:pPr>
      <w:r>
        <w:rPr>
          <w:b/>
          <w:sz w:val="26"/>
        </w:rPr>
        <w:t>Part 2 - tool data sheet</w:t>
      </w:r>
    </w:p>
    <w:p>
      <w:r>
        <w:t>One row per candidate tool, the same columns for each, so that the comparison holds.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  <w:gridCol w:w="975"/>
      </w:tblGrid>
      <w:tr>
        <w:tc>
          <w:tcPr>
            <w:tcW w:type="dxa" w:w="1077"/>
          </w:tcPr>
          <w:p>
            <w:r/>
            <w:r>
              <w:rPr>
                <w:b/>
                <w:sz w:val="19"/>
              </w:rPr>
              <w:t>Tool code</w:t>
            </w:r>
          </w:p>
        </w:tc>
        <w:tc>
          <w:tcPr>
            <w:tcW w:type="dxa" w:w="1247"/>
          </w:tcPr>
          <w:p>
            <w:r/>
            <w:r>
              <w:rPr>
                <w:b/>
                <w:sz w:val="19"/>
              </w:rPr>
              <w:t>Purpose</w:t>
            </w:r>
          </w:p>
        </w:tc>
        <w:tc>
          <w:tcPr>
            <w:tcW w:type="dxa" w:w="907"/>
          </w:tcPr>
          <w:p>
            <w:r/>
            <w:r>
              <w:rPr>
                <w:b/>
                <w:sz w:val="19"/>
              </w:rPr>
              <w:t>Learning stage</w:t>
            </w:r>
          </w:p>
        </w:tc>
        <w:tc>
          <w:tcPr>
            <w:tcW w:type="dxa" w:w="1020"/>
          </w:tcPr>
          <w:p>
            <w:r/>
            <w:r>
              <w:rPr>
                <w:b/>
                <w:sz w:val="19"/>
              </w:rPr>
              <w:t>Account type</w:t>
            </w:r>
          </w:p>
        </w:tc>
        <w:tc>
          <w:tcPr>
            <w:tcW w:type="dxa" w:w="1247"/>
          </w:tcPr>
          <w:p>
            <w:r/>
            <w:r>
              <w:rPr>
                <w:b/>
                <w:sz w:val="19"/>
              </w:rPr>
              <w:t>Data stored where</w:t>
            </w:r>
          </w:p>
        </w:tc>
        <w:tc>
          <w:tcPr>
            <w:tcW w:type="dxa" w:w="850"/>
          </w:tcPr>
          <w:p>
            <w:r/>
            <w:r>
              <w:rPr>
                <w:b/>
                <w:sz w:val="19"/>
              </w:rPr>
              <w:t>Free tier</w:t>
            </w:r>
          </w:p>
        </w:tc>
        <w:tc>
          <w:tcPr>
            <w:tcW w:type="dxa" w:w="1020"/>
          </w:tcPr>
          <w:p>
            <w:r/>
            <w:r>
              <w:rPr>
                <w:b/>
                <w:sz w:val="19"/>
              </w:rPr>
              <w:t>Year 1 price</w:t>
            </w:r>
          </w:p>
        </w:tc>
        <w:tc>
          <w:tcPr>
            <w:tcW w:type="dxa" w:w="1020"/>
          </w:tcPr>
          <w:p>
            <w:r/>
            <w:r>
              <w:rPr>
                <w:b/>
                <w:sz w:val="19"/>
              </w:rPr>
              <w:t>Minimum term</w:t>
            </w:r>
          </w:p>
        </w:tc>
        <w:tc>
          <w:tcPr>
            <w:tcW w:type="dxa" w:w="907"/>
          </w:tcPr>
          <w:p>
            <w:r/>
            <w:r>
              <w:rPr>
                <w:b/>
                <w:sz w:val="19"/>
              </w:rPr>
              <w:t>Trial date</w:t>
            </w:r>
          </w:p>
        </w:tc>
        <w:tc>
          <w:tcPr>
            <w:tcW w:type="dxa" w:w="1020"/>
          </w:tcPr>
          <w:p>
            <w:r/>
            <w:r>
              <w:rPr>
                <w:b/>
                <w:sz w:val="19"/>
              </w:rPr>
              <w:t>Owner</w:t>
            </w:r>
          </w:p>
        </w:tc>
      </w:tr>
      <w:tr>
        <w:tc>
          <w:tcPr>
            <w:tcW w:type="dxa" w:w="1077"/>
          </w:tcPr>
          <w:p>
            <w:pPr>
              <w:spacing w:line="276" w:lineRule="auto"/>
            </w:pPr>
            <w:r/>
            <w:r>
              <w:rPr>
                <w:sz w:val="19"/>
              </w:rPr>
              <w:t>Tool A</w:t>
            </w:r>
          </w:p>
        </w:tc>
        <w:tc>
          <w:tcPr>
            <w:tcW w:type="dxa" w:w="124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85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1077"/>
          </w:tcPr>
          <w:p>
            <w:pPr>
              <w:spacing w:line="276" w:lineRule="auto"/>
            </w:pPr>
            <w:r/>
            <w:r>
              <w:rPr>
                <w:sz w:val="19"/>
              </w:rPr>
              <w:t>Tool B</w:t>
            </w:r>
          </w:p>
        </w:tc>
        <w:tc>
          <w:tcPr>
            <w:tcW w:type="dxa" w:w="124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85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1077"/>
          </w:tcPr>
          <w:p>
            <w:pPr>
              <w:spacing w:line="276" w:lineRule="auto"/>
            </w:pPr>
            <w:r/>
            <w:r>
              <w:rPr>
                <w:sz w:val="19"/>
              </w:rPr>
              <w:t>Tool C</w:t>
            </w:r>
          </w:p>
        </w:tc>
        <w:tc>
          <w:tcPr>
            <w:tcW w:type="dxa" w:w="124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85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</w:tbl>
    <w:p/>
    <w:p>
      <w:pPr>
        <w:spacing w:before="240"/>
      </w:pPr>
      <w:r>
        <w:rPr>
          <w:b/>
          <w:sz w:val="26"/>
        </w:rPr>
        <w:t>Part 3 - trial record</w:t>
      </w:r>
    </w:p>
    <w:p>
      <w:pPr>
        <w:spacing w:before="160"/>
      </w:pPr>
      <w:r>
        <w:rPr>
          <w:b/>
          <w:sz w:val="22"/>
        </w:rPr>
        <w:t>Before the trial: three must-pass conditions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1361"/>
          </w:tcPr>
          <w:p>
            <w:r/>
            <w:r>
              <w:rPr>
                <w:b/>
                <w:sz w:val="19"/>
              </w:rPr>
              <w:t>Condition</w:t>
            </w:r>
          </w:p>
        </w:tc>
        <w:tc>
          <w:tcPr>
            <w:tcW w:type="dxa" w:w="5669"/>
          </w:tcPr>
          <w:p>
            <w:r/>
            <w:r>
              <w:rPr>
                <w:b/>
                <w:sz w:val="19"/>
              </w:rPr>
              <w:t>Wording</w:t>
            </w:r>
          </w:p>
        </w:tc>
        <w:tc>
          <w:tcPr>
            <w:tcW w:type="dxa" w:w="2268"/>
          </w:tcPr>
          <w:p>
            <w:r/>
            <w:r>
              <w:rPr>
                <w:b/>
                <w:sz w:val="19"/>
              </w:rPr>
              <w:t>Result (pass / fail)</w:t>
            </w:r>
          </w:p>
        </w:tc>
      </w:tr>
      <w:tr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  <w:t>Condition one</w:t>
            </w:r>
          </w:p>
        </w:tc>
        <w:tc>
          <w:tcPr>
            <w:tcW w:type="dxa" w:w="5669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  <w:t>Condition two</w:t>
            </w:r>
          </w:p>
        </w:tc>
        <w:tc>
          <w:tcPr>
            <w:tcW w:type="dxa" w:w="5669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  <w:t>Condition three</w:t>
            </w:r>
          </w:p>
        </w:tc>
        <w:tc>
          <w:tcPr>
            <w:tcW w:type="dxa" w:w="5669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268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</w:tbl>
    <w:p/>
    <w:p>
      <w:r>
        <w:rPr>
          <w:i/>
          <w:sz w:val="19"/>
        </w:rPr>
        <w:t>The three conditions are written before the trial. If one fails, write it in this record rather than carrying an impression into the meeting.</w:t>
      </w:r>
    </w:p>
    <w:p>
      <w:pPr>
        <w:spacing w:before="160"/>
      </w:pPr>
      <w:r>
        <w:rPr>
          <w:b/>
          <w:sz w:val="22"/>
        </w:rPr>
        <w:t>Trial lessons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18"/>
        <w:gridCol w:w="1218"/>
        <w:gridCol w:w="1218"/>
        <w:gridCol w:w="1218"/>
        <w:gridCol w:w="1218"/>
        <w:gridCol w:w="1218"/>
        <w:gridCol w:w="1218"/>
        <w:gridCol w:w="1218"/>
      </w:tblGrid>
      <w:tr>
        <w:tc>
          <w:tcPr>
            <w:tcW w:type="dxa" w:w="1020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794"/>
          </w:tcPr>
          <w:p>
            <w:r/>
            <w:r>
              <w:rPr>
                <w:b/>
                <w:sz w:val="19"/>
              </w:rPr>
              <w:t>Class</w:t>
            </w:r>
          </w:p>
        </w:tc>
        <w:tc>
          <w:tcPr>
            <w:tcW w:type="dxa" w:w="907"/>
          </w:tcPr>
          <w:p>
            <w:r/>
            <w:r>
              <w:rPr>
                <w:b/>
                <w:sz w:val="19"/>
              </w:rPr>
              <w:t>Subject</w:t>
            </w:r>
          </w:p>
        </w:tc>
        <w:tc>
          <w:tcPr>
            <w:tcW w:type="dxa" w:w="680"/>
          </w:tcPr>
          <w:p>
            <w:r/>
            <w:r>
              <w:rPr>
                <w:b/>
                <w:sz w:val="19"/>
              </w:rPr>
              <w:t>Pupils</w:t>
            </w:r>
          </w:p>
        </w:tc>
        <w:tc>
          <w:tcPr>
            <w:tcW w:type="dxa" w:w="1928"/>
          </w:tcPr>
          <w:p>
            <w:r/>
            <w:r>
              <w:rPr>
                <w:b/>
                <w:sz w:val="19"/>
              </w:rPr>
              <w:t>Task</w:t>
            </w:r>
          </w:p>
        </w:tc>
        <w:tc>
          <w:tcPr>
            <w:tcW w:type="dxa" w:w="1928"/>
          </w:tcPr>
          <w:p>
            <w:r/>
            <w:r>
              <w:rPr>
                <w:b/>
                <w:sz w:val="19"/>
              </w:rPr>
              <w:t>What we saw</w:t>
            </w:r>
          </w:p>
        </w:tc>
        <w:tc>
          <w:tcPr>
            <w:tcW w:type="dxa" w:w="1701"/>
          </w:tcPr>
          <w:p>
            <w:r/>
            <w:r>
              <w:rPr>
                <w:b/>
                <w:sz w:val="19"/>
              </w:rPr>
              <w:t>Problems</w:t>
            </w:r>
          </w:p>
        </w:tc>
        <w:tc>
          <w:tcPr>
            <w:tcW w:type="dxa" w:w="1361"/>
          </w:tcPr>
          <w:p>
            <w:r/>
            <w:r>
              <w:rPr>
                <w:b/>
                <w:sz w:val="19"/>
              </w:rPr>
              <w:t>School-level adjustment</w:t>
            </w:r>
          </w:p>
        </w:tc>
      </w:tr>
      <w:tr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79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68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79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68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79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68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79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68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928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70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36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</w:tbl>
    <w:p/>
    <w:p>
      <w:pPr>
        <w:spacing w:before="240"/>
      </w:pPr>
      <w:r>
        <w:rPr>
          <w:b/>
          <w:sz w:val="26"/>
        </w:rPr>
        <w:t>Part 4 - three-year cost comparison of buying, subscribing and renting</w:t>
      </w:r>
    </w:p>
    <w:p>
      <w:r>
        <w:t>The same set of tools and the same number of users, in three parallel columns.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381"/>
          </w:tcPr>
          <w:p>
            <w:r/>
            <w:r>
              <w:rPr>
                <w:b/>
                <w:sz w:val="19"/>
              </w:rPr>
              <w:t>Item</w:t>
            </w:r>
          </w:p>
        </w:tc>
        <w:tc>
          <w:tcPr>
            <w:tcW w:type="dxa" w:w="2381"/>
          </w:tcPr>
          <w:p>
            <w:r/>
            <w:r>
              <w:rPr>
                <w:b/>
                <w:sz w:val="19"/>
              </w:rPr>
              <w:t>Buy</w:t>
            </w:r>
          </w:p>
        </w:tc>
        <w:tc>
          <w:tcPr>
            <w:tcW w:type="dxa" w:w="2381"/>
          </w:tcPr>
          <w:p>
            <w:r/>
            <w:r>
              <w:rPr>
                <w:b/>
                <w:sz w:val="19"/>
              </w:rPr>
              <w:t>Subscribe</w:t>
            </w:r>
          </w:p>
        </w:tc>
        <w:tc>
          <w:tcPr>
            <w:tcW w:type="dxa" w:w="2381"/>
          </w:tcPr>
          <w:p>
            <w:r/>
            <w:r>
              <w:rPr>
                <w:b/>
                <w:sz w:val="19"/>
              </w:rPr>
              <w:t>Rent</w:t>
            </w:r>
          </w:p>
        </w:tc>
      </w:tr>
      <w:tr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Year 1 spend</w:t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licence purchase + first-year maintenance</w:t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first-year subscription</w:t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first rental payment</w:t>
            </w:r>
          </w:p>
        </w:tc>
      </w:tr>
      <w:tr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Year 2 spend</w:t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maintenance or update fee</w:t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renewal (watch the increase clause)</w:t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renewal</w:t>
            </w:r>
          </w:p>
        </w:tc>
      </w:tr>
      <w:tr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Year 3 spend</w:t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maintenance or update fee</w:t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renewal</w:t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renewal</w:t>
            </w:r>
          </w:p>
        </w:tc>
      </w:tr>
      <w:tr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Three-year total</w:t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Costs appearing after year 1</w:t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updates, extra licences, hardware</w:t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more users, a higher feature tier</w:t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renewal increase, per-class increase</w:t>
            </w:r>
          </w:p>
        </w:tc>
      </w:tr>
      <w:tr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What happens on leaving</w:t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whether the licence transfers</w:t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whether unused periods are refunded</w:t>
            </w:r>
          </w:p>
        </w:tc>
        <w:tc>
          <w:tcPr>
            <w:tcW w:type="dxa" w:w="2381"/>
          </w:tcPr>
          <w:p>
            <w:pPr>
              <w:spacing w:line="276" w:lineRule="auto"/>
            </w:pPr>
            <w:r/>
            <w:r>
              <w:rPr>
                <w:sz w:val="19"/>
              </w:rPr>
              <w:t>whether data and materials come back</w:t>
            </w:r>
          </w:p>
        </w:tc>
      </w:tr>
    </w:tbl>
    <w:p/>
    <w:p>
      <w:pPr>
        <w:spacing w:before="240"/>
      </w:pPr>
      <w:r>
        <w:rPr>
          <w:b/>
          <w:sz w:val="26"/>
        </w:rPr>
        <w:t>Part 5 - funding use and accountability record</w:t>
      </w:r>
    </w:p>
    <w:p>
      <w:r>
        <w:rPr>
          <w:i/>
          <w:sz w:val="19"/>
        </w:rPr>
        <w:t>The Education Bureau circular puts the funding at HK$500,000, covering the 2025/26 to 2027/28 school years. Record item by item and return to it on the outcome review date.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3"/>
        <w:gridCol w:w="1083"/>
        <w:gridCol w:w="1083"/>
        <w:gridCol w:w="1083"/>
        <w:gridCol w:w="1083"/>
        <w:gridCol w:w="1083"/>
        <w:gridCol w:w="1083"/>
        <w:gridCol w:w="1083"/>
        <w:gridCol w:w="1083"/>
      </w:tblGrid>
      <w:tr>
        <w:tc>
          <w:tcPr>
            <w:tcW w:type="dxa" w:w="1020"/>
          </w:tcPr>
          <w:p>
            <w:r/>
            <w:r>
              <w:rPr>
                <w:b/>
                <w:sz w:val="19"/>
              </w:rPr>
              <w:t>Date</w:t>
            </w:r>
          </w:p>
        </w:tc>
        <w:tc>
          <w:tcPr>
            <w:tcW w:type="dxa" w:w="1474"/>
          </w:tcPr>
          <w:p>
            <w:r/>
            <w:r>
              <w:rPr>
                <w:b/>
                <w:sz w:val="19"/>
              </w:rPr>
              <w:t>Item</w:t>
            </w:r>
          </w:p>
        </w:tc>
        <w:tc>
          <w:tcPr>
            <w:tcW w:type="dxa" w:w="1247"/>
          </w:tcPr>
          <w:p>
            <w:r/>
            <w:r>
              <w:rPr>
                <w:b/>
                <w:sz w:val="19"/>
              </w:rPr>
              <w:t>Method</w:t>
            </w:r>
          </w:p>
        </w:tc>
        <w:tc>
          <w:tcPr>
            <w:tcW w:type="dxa" w:w="1020"/>
          </w:tcPr>
          <w:p>
            <w:r/>
            <w:r>
              <w:rPr>
                <w:b/>
                <w:sz w:val="19"/>
              </w:rPr>
              <w:t>Amount</w:t>
            </w:r>
          </w:p>
        </w:tc>
        <w:tc>
          <w:tcPr>
            <w:tcW w:type="dxa" w:w="1020"/>
          </w:tcPr>
          <w:p>
            <w:r/>
            <w:r>
              <w:rPr>
                <w:b/>
                <w:sz w:val="19"/>
              </w:rPr>
              <w:t>Supplier code</w:t>
            </w:r>
          </w:p>
        </w:tc>
        <w:tc>
          <w:tcPr>
            <w:tcW w:type="dxa" w:w="907"/>
          </w:tcPr>
          <w:p>
            <w:r/>
            <w:r>
              <w:rPr>
                <w:b/>
                <w:sz w:val="19"/>
              </w:rPr>
              <w:t>Approver</w:t>
            </w:r>
          </w:p>
        </w:tc>
        <w:tc>
          <w:tcPr>
            <w:tcW w:type="dxa" w:w="1020"/>
          </w:tcPr>
          <w:p>
            <w:r/>
            <w:r>
              <w:rPr>
                <w:b/>
                <w:sz w:val="19"/>
              </w:rPr>
              <w:t>Receipt no.</w:t>
            </w:r>
          </w:p>
        </w:tc>
        <w:tc>
          <w:tcPr>
            <w:tcW w:type="dxa" w:w="907"/>
          </w:tcPr>
          <w:p>
            <w:r/>
            <w:r>
              <w:rPr>
                <w:b/>
                <w:sz w:val="19"/>
              </w:rPr>
              <w:t>Score sheet no.</w:t>
            </w:r>
          </w:p>
        </w:tc>
        <w:tc>
          <w:tcPr>
            <w:tcW w:type="dxa" w:w="1134"/>
          </w:tcPr>
          <w:p>
            <w:r/>
            <w:r>
              <w:rPr>
                <w:b/>
                <w:sz w:val="19"/>
              </w:rPr>
              <w:t>Outcome review</w:t>
            </w:r>
          </w:p>
        </w:tc>
      </w:tr>
      <w:tr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pPr>
              <w:spacing w:line="276" w:lineRule="auto"/>
            </w:pPr>
            <w:r/>
            <w:r>
              <w:rPr>
                <w:sz w:val="19"/>
              </w:rPr>
              <w:t>buy / subscribe / rent</w:t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13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pPr>
              <w:spacing w:line="276" w:lineRule="auto"/>
            </w:pPr>
            <w:r/>
            <w:r>
              <w:rPr>
                <w:sz w:val="19"/>
              </w:rPr>
              <w:t>buy / subscribe / rent</w:t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13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pPr>
              <w:spacing w:line="276" w:lineRule="auto"/>
            </w:pPr>
            <w:r/>
            <w:r>
              <w:rPr>
                <w:sz w:val="19"/>
              </w:rPr>
              <w:t>buy / subscribe / rent</w:t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13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pPr>
              <w:spacing w:line="276" w:lineRule="auto"/>
            </w:pPr>
            <w:r/>
            <w:r>
              <w:rPr>
                <w:sz w:val="19"/>
              </w:rPr>
              <w:t>buy / subscribe / rent</w:t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13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  <w:tr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47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247"/>
          </w:tcPr>
          <w:p>
            <w:pPr>
              <w:spacing w:line="276" w:lineRule="auto"/>
            </w:pPr>
            <w:r/>
            <w:r>
              <w:rPr>
                <w:sz w:val="19"/>
              </w:rPr>
              <w:t>buy / subscribe / rent</w:t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020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907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  <w:tc>
          <w:tcPr>
            <w:tcW w:type="dxa" w:w="1134"/>
          </w:tcPr>
          <w:p>
            <w:pPr>
              <w:spacing w:line="276" w:lineRule="auto"/>
            </w:pPr>
            <w:r/>
            <w:r>
              <w:rPr>
                <w:sz w:val="19"/>
              </w:rPr>
            </w:r>
          </w:p>
        </w:tc>
      </w:tr>
    </w:tbl>
    <w:p/>
    <w:p>
      <w:pPr>
        <w:spacing w:before="240"/>
      </w:pPr>
      <w:r>
        <w:rPr>
          <w:b/>
          <w:sz w:val="26"/>
        </w:rPr>
        <w:t>How to run the selection</w:t>
      </w:r>
    </w:p>
    <w:p>
      <w:pPr>
        <w:pStyle w:val="ListNumber"/>
      </w:pPr>
      <w:r>
        <w:t>First meeting (about 90 minutes): set the six criteria and weights, write the three must-pass conditions, name who gathers the data.</w:t>
      </w:r>
    </w:p>
    <w:p>
      <w:pPr>
        <w:pStyle w:val="ListNumber"/>
      </w:pPr>
      <w:r>
        <w:t>Two to three weeks: collect prices and terms into the tool data sheet, and book trial lessons in the same period.</w:t>
      </w:r>
    </w:p>
    <w:p>
      <w:pPr>
        <w:pStyle w:val="ListNumber"/>
      </w:pPr>
      <w:r>
        <w:t>Second meeting: read the trial record, score the tools, complete the three-year cost comparison; where two totals are close, go back through the criteria one at a time.</w:t>
      </w:r>
    </w:p>
    <w:p>
      <w:pPr>
        <w:pStyle w:val="ListNumber"/>
      </w:pPr>
      <w:r>
        <w:t>Decide and record: complete the funding record and name the review date.</w:t>
      </w:r>
    </w:p>
    <w:p>
      <w:pPr>
        <w:pStyle w:val="ListNumber"/>
      </w:pPr>
      <w:r>
        <w:t>Once a year: review with the same table - terms change, pupil numbers change, increases arrive.</w:t>
      </w:r>
    </w:p>
    <w:p>
      <w:r>
        <w:t>This document is an independent Beets resource for schools, not an official EDB document. The six criteria, the weights and the scoring method are this resource's recommendation.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336" w:lineRule="auto"/>
    </w:pPr>
    <w:rPr>
      <w:rFonts w:ascii="Quicksand" w:hAnsi="Quicksan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