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Observing an AI-integrated lesson and giving peer feedback</w:t>
      </w:r>
    </w:p>
    <w:p>
      <w:r>
        <w:rPr>
          <w:rFonts w:ascii="Quicksand" w:hAnsi="Quicksand" w:cs="Quicksand" w:eastAsia="Noto Sans TC"/>
          <w:color w:val="6F6F6F"/>
          <w:sz w:val="24"/>
        </w:rPr>
        <w:t>P1-S6 · across subjects · a one-page six-column record · a 30-minute feedback meeting · three tests</w:t>
      </w:r>
    </w:p>
    <w:p>
      <w:r>
        <w:rPr>
          <w:rFonts w:ascii="Quicksand" w:hAnsi="Quicksand" w:cs="Quicksand" w:eastAsia="Noto Sans TC"/>
          <w:color w:val="E10707"/>
          <w:sz w:val="18"/>
        </w:rPr>
        <w:t>──────────────────────────────────────────────</w:t>
      </w:r>
    </w:p>
    <w:p>
      <w:r>
        <w:rPr>
          <w:rFonts w:ascii="Quicksand" w:hAnsi="Quicksand" w:cs="Quicksand" w:eastAsia="Noto Sans TC"/>
          <w:b w:val="0"/>
          <w:color w:val="080808"/>
          <w:sz w:val="21"/>
        </w:rPr>
        <w:t>Five parts: ① the three things to settle before the lesson ② the one-page six-column record (photocopiable on its own) ③ the 30-minute feedback meeting ④ the three tests ⑤ how the output joins the school's self-evaluation cycle.</w:t>
      </w:r>
    </w:p>
    <w:tbl>
      <w:tblPr>
        <w:tblW w:type="auto" w:w="0"/>
        <w:tblLook w:firstColumn="1" w:firstRow="1" w:lastColumn="0" w:lastRow="0" w:noHBand="0" w:noVBand="1" w:val="04A0"/>
      </w:tblPr>
      <w:tblGrid>
        <w:gridCol w:w="9638"/>
      </w:tblGrid>
      <w:tr>
        <w:tc>
          <w:tcPr>
            <w:tcW w:type="dxa" w:w="9638"/>
            <w:shd w:val="clear" w:fill="FDEAEA"/>
          </w:tcPr>
          <w:p>
            <w:r/>
            <w:r>
              <w:rPr>
                <w:rFonts w:ascii="Quicksand" w:hAnsi="Quicksand" w:cs="Quicksand" w:eastAsia="Noto Sans TC"/>
                <w:color w:val="080808"/>
                <w:sz w:val="20"/>
              </w:rPr>
              <w:t>Nothing is graded, no grades are recorded, and nothing goes into staff appraisal. The record goes back to the teacher the same day and the observer keeps no copy. The six columns, the three tests and the meeting are this resource's suggestion; the official documents contain no AI lesson observation indicators.</w:t>
            </w:r>
          </w:p>
        </w:tc>
      </w:tr>
    </w:tbl>
    <w:p>
      <w:pPr>
        <w:spacing w:before="240" w:after="80"/>
      </w:pPr>
      <w:r>
        <w:rPr>
          <w:rFonts w:ascii="Quicksand" w:hAnsi="Quicksand" w:cs="Quicksand" w:eastAsia="Noto Sans TC"/>
          <w:b/>
          <w:color w:val="E10707"/>
          <w:sz w:val="32"/>
        </w:rPr>
        <w:t>Part 1  Three things to settle before the lesson (about 15 minutes)</w:t>
      </w:r>
    </w:p>
    <w:p>
      <w:pPr>
        <w:pStyle w:val="ListBullet"/>
      </w:pPr>
      <w:r>
        <w:rPr>
          <w:rFonts w:ascii="Quicksand" w:hAnsi="Quicksand" w:cs="Quicksand" w:eastAsia="Noto Sans TC"/>
          <w:sz w:val="21"/>
        </w:rPr>
        <w:t>□ A 15-minute briefing: the teacher explains the learning objective and why this lesson uses AI (which objective the tool serves; what the class would learn less of without it).</w:t>
      </w:r>
    </w:p>
    <w:p>
      <w:pPr>
        <w:pStyle w:val="ListBullet"/>
      </w:pPr>
      <w:r>
        <w:rPr>
          <w:rFonts w:ascii="Quicksand" w:hAnsi="Quicksand" w:cs="Quicksand" w:eastAsia="Noto Sans TC"/>
          <w:sz w:val="21"/>
        </w:rPr>
        <w:t>□ Agree how to record: one page, six columns, words only; no video, no photographs, no pupil names (seat numbers or codes), no collection of pupil work.</w:t>
      </w:r>
    </w:p>
    <w:p>
      <w:pPr>
        <w:pStyle w:val="ListBullet"/>
      </w:pPr>
      <w:r>
        <w:rPr>
          <w:rFonts w:ascii="Quicksand" w:hAnsi="Quicksand" w:cs="Quicksand" w:eastAsia="Noto Sans TC"/>
          <w:sz w:val="21"/>
        </w:rPr>
        <w:t>□ Fix the meeting: within three working days, 30 minutes; open it by saying it is not graded, does not go into appraisal and has no third party present.</w:t>
      </w:r>
    </w:p>
    <w:p>
      <w:pPr>
        <w:spacing w:before="240" w:after="80"/>
      </w:pPr>
      <w:r>
        <w:rPr>
          <w:rFonts w:ascii="Quicksand" w:hAnsi="Quicksand" w:cs="Quicksand" w:eastAsia="Noto Sans TC"/>
          <w:b/>
          <w:color w:val="E10707"/>
          <w:sz w:val="32"/>
        </w:rPr>
        <w:t>Part 2  How the record and the tests are used</w:t>
      </w:r>
    </w:p>
    <w:p>
      <w:r>
        <w:rPr>
          <w:rFonts w:ascii="Quicksand" w:hAnsi="Quicksand" w:cs="Quicksand" w:eastAsia="Noto Sans TC"/>
          <w:b w:val="0"/>
          <w:color w:val="080808"/>
          <w:sz w:val="21"/>
        </w:rPr>
        <w:t>The record is on the next page and photocopies on its own. Record facts during the lesson; the three tests and the discussion belong to the meeting, otherwise the record is led by the conclusion.</w:t>
      </w:r>
    </w:p>
    <w:p>
      <w:pPr>
        <w:sectPr>
          <w:pgSz w:w="11906" w:h="16838"/>
          <w:pgMar w:top="1020" w:right="1134" w:bottom="1020" w:left="1134" w:header="720" w:footer="720" w:gutter="0"/>
          <w:cols w:space="720"/>
          <w:docGrid w:linePitch="360"/>
        </w:sectPr>
      </w:pPr>
    </w:p>
    <w:p>
      <w:r>
        <w:rPr>
          <w:rFonts w:ascii="Quicksand" w:hAnsi="Quicksand" w:cs="Quicksand" w:eastAsia="Noto Sans TC"/>
          <w:b/>
          <w:color w:val="080808"/>
          <w:sz w:val="40"/>
        </w:rPr>
        <w:t>One-page six-column record</w:t>
      </w:r>
    </w:p>
    <w:p>
      <w:r>
        <w:rPr>
          <w:rFonts w:ascii="Quicksand" w:hAnsi="Quicksand" w:cs="Quicksand" w:eastAsia="Noto Sans TC"/>
          <w:b w:val="0"/>
          <w:color w:val="080808"/>
          <w:sz w:val="18"/>
        </w:rPr>
        <w:t>Date: ________   Class: _______   Subject: __________   Topic: ____________________   Teacher: _________   Observer: _________</w:t>
      </w:r>
    </w:p>
    <w:p>
      <w:r>
        <w:rPr>
          <w:rFonts w:ascii="Quicksand" w:hAnsi="Quicksand" w:cs="Quicksand" w:eastAsia="Noto Sans TC"/>
          <w:b w:val="0"/>
          <w:color w:val="6F6F6F"/>
          <w:sz w:val="18"/>
        </w:rPr>
        <w:t>Record only what is visible in this lesson. Column 6 carries facts and location only (which activity, what happened), never a comment.</w:t>
      </w:r>
    </w:p>
    <w:p>
      <w:pPr>
        <w:spacing w:after="80"/>
      </w:pPr>
    </w:p>
    <w:tbl>
      <w:tblPr>
        <w:tblStyle w:val="TableGrid"/>
        <w:tblW w:type="auto" w:w="0"/>
        <w:jc w:val="left"/>
        <w:tblLook w:firstColumn="1" w:firstRow="1" w:lastColumn="0" w:lastRow="0" w:noHBand="0" w:noVBand="1" w:val="04A0"/>
      </w:tblPr>
      <w:tblGrid>
        <w:gridCol w:w="2580"/>
        <w:gridCol w:w="2580"/>
        <w:gridCol w:w="2580"/>
        <w:gridCol w:w="2580"/>
        <w:gridCol w:w="2580"/>
        <w:gridCol w:w="2580"/>
      </w:tblGrid>
      <w:tr>
        <w:tc>
          <w:tcPr>
            <w:tcW w:type="dxa" w:w="1157"/>
            <w:shd w:val="clear" w:fill="E10707"/>
          </w:tcPr>
          <w:p>
            <w:r/>
            <w:r>
              <w:rPr>
                <w:rFonts w:ascii="Quicksand" w:hAnsi="Quicksand" w:cs="Quicksand" w:eastAsia="Noto Sans TC"/>
                <w:b/>
                <w:color w:val="FFFFFF"/>
                <w:sz w:val="20"/>
              </w:rPr>
              <w:t>Activity</w:t>
            </w:r>
          </w:p>
        </w:tc>
        <w:tc>
          <w:tcPr>
            <w:tcW w:type="dxa" w:w="1928"/>
            <w:shd w:val="clear" w:fill="E10707"/>
          </w:tcPr>
          <w:p>
            <w:r/>
            <w:r>
              <w:rPr>
                <w:rFonts w:ascii="Quicksand" w:hAnsi="Quicksand" w:cs="Quicksand" w:eastAsia="Noto Sans TC"/>
                <w:b/>
                <w:color w:val="FFFFFF"/>
                <w:sz w:val="20"/>
              </w:rPr>
              <w:t>Use of AI</w:t>
            </w:r>
          </w:p>
        </w:tc>
        <w:tc>
          <w:tcPr>
            <w:tcW w:type="dxa" w:w="1928"/>
            <w:shd w:val="clear" w:fill="E10707"/>
          </w:tcPr>
          <w:p>
            <w:r/>
            <w:r>
              <w:rPr>
                <w:rFonts w:ascii="Quicksand" w:hAnsi="Quicksand" w:cs="Quicksand" w:eastAsia="Noto Sans TC"/>
                <w:b/>
                <w:color w:val="FFFFFF"/>
                <w:sz w:val="20"/>
              </w:rPr>
              <w:t>Teacher's check</w:t>
            </w:r>
          </w:p>
        </w:tc>
        <w:tc>
          <w:tcPr>
            <w:tcW w:type="dxa" w:w="1542"/>
            <w:shd w:val="clear" w:fill="E10707"/>
          </w:tcPr>
          <w:p>
            <w:r/>
            <w:r>
              <w:rPr>
                <w:rFonts w:ascii="Quicksand" w:hAnsi="Quicksand" w:cs="Quicksand" w:eastAsia="Noto Sans TC"/>
                <w:b/>
                <w:color w:val="FFFFFF"/>
                <w:sz w:val="20"/>
              </w:rPr>
              <w:t>Pupil verification</w:t>
            </w:r>
          </w:p>
        </w:tc>
        <w:tc>
          <w:tcPr>
            <w:tcW w:type="dxa" w:w="1542"/>
            <w:shd w:val="clear" w:fill="E10707"/>
          </w:tcPr>
          <w:p>
            <w:r/>
            <w:r>
              <w:rPr>
                <w:rFonts w:ascii="Quicksand" w:hAnsi="Quicksand" w:cs="Quicksand" w:eastAsia="Noto Sans TC"/>
                <w:b/>
                <w:color w:val="FFFFFF"/>
                <w:sz w:val="20"/>
              </w:rPr>
              <w:t>Pupil's own work</w:t>
            </w:r>
          </w:p>
        </w:tc>
        <w:tc>
          <w:tcPr>
            <w:tcW w:type="dxa" w:w="1542"/>
            <w:shd w:val="clear" w:fill="E10707"/>
          </w:tcPr>
          <w:p>
            <w:r/>
            <w:r>
              <w:rPr>
                <w:rFonts w:ascii="Quicksand" w:hAnsi="Quicksand" w:cs="Quicksand" w:eastAsia="Noto Sans TC"/>
                <w:b/>
                <w:color w:val="FFFFFF"/>
                <w:sz w:val="20"/>
              </w:rPr>
              <w:t>One thing to improve</w:t>
            </w:r>
          </w:p>
        </w:tc>
      </w:tr>
      <w:tr>
        <w:tc>
          <w:tcPr>
            <w:tcW w:type="dxa" w:w="1157"/>
          </w:tcPr>
          <w:p>
            <w:r/>
            <w:r>
              <w:rPr>
                <w:rFonts w:ascii="Quicksand" w:hAnsi="Quicksand" w:cs="Quicksand" w:eastAsia="Noto Sans TC"/>
                <w:sz w:val="20"/>
              </w:rPr>
            </w:r>
          </w:p>
        </w:tc>
        <w:tc>
          <w:tcPr>
            <w:tcW w:type="dxa" w:w="1928"/>
          </w:tcPr>
          <w:p>
            <w:r/>
            <w:r>
              <w:rPr>
                <w:rFonts w:ascii="Quicksand" w:hAnsi="Quicksand" w:cs="Quicksand" w:eastAsia="Noto Sans TC"/>
                <w:sz w:val="20"/>
              </w:rPr>
            </w:r>
          </w:p>
        </w:tc>
        <w:tc>
          <w:tcPr>
            <w:tcW w:type="dxa" w:w="1928"/>
          </w:tcPr>
          <w:p>
            <w:r/>
            <w:r>
              <w:rPr>
                <w:rFonts w:ascii="Quicksand" w:hAnsi="Quicksand" w:cs="Quicksand" w:eastAsia="Noto Sans TC"/>
                <w:sz w:val="20"/>
              </w:rPr>
            </w:r>
          </w:p>
        </w:tc>
        <w:tc>
          <w:tcPr>
            <w:tcW w:type="dxa" w:w="1542"/>
          </w:tcPr>
          <w:p>
            <w:r/>
            <w:r>
              <w:rPr>
                <w:rFonts w:ascii="Quicksand" w:hAnsi="Quicksand" w:cs="Quicksand" w:eastAsia="Noto Sans TC"/>
                <w:sz w:val="20"/>
              </w:rPr>
            </w:r>
          </w:p>
        </w:tc>
        <w:tc>
          <w:tcPr>
            <w:tcW w:type="dxa" w:w="1542"/>
          </w:tcPr>
          <w:p>
            <w:r/>
            <w:r>
              <w:rPr>
                <w:rFonts w:ascii="Quicksand" w:hAnsi="Quicksand" w:cs="Quicksand" w:eastAsia="Noto Sans TC"/>
                <w:sz w:val="20"/>
              </w:rPr>
            </w:r>
          </w:p>
        </w:tc>
        <w:tc>
          <w:tcPr>
            <w:tcW w:type="dxa" w:w="1542"/>
          </w:tcPr>
          <w:p>
            <w:r/>
            <w:r>
              <w:rPr>
                <w:rFonts w:ascii="Quicksand" w:hAnsi="Quicksand" w:cs="Quicksand" w:eastAsia="Noto Sans TC"/>
                <w:sz w:val="20"/>
              </w:rPr>
            </w:r>
          </w:p>
        </w:tc>
      </w:tr>
      <w:tr>
        <w:tc>
          <w:tcPr>
            <w:tcW w:type="dxa" w:w="1157"/>
          </w:tcPr>
          <w:p>
            <w:r/>
            <w:r>
              <w:rPr>
                <w:rFonts w:ascii="Quicksand" w:hAnsi="Quicksand" w:cs="Quicksand" w:eastAsia="Noto Sans TC"/>
                <w:sz w:val="20"/>
              </w:rPr>
            </w:r>
          </w:p>
        </w:tc>
        <w:tc>
          <w:tcPr>
            <w:tcW w:type="dxa" w:w="1928"/>
          </w:tcPr>
          <w:p>
            <w:r/>
            <w:r>
              <w:rPr>
                <w:rFonts w:ascii="Quicksand" w:hAnsi="Quicksand" w:cs="Quicksand" w:eastAsia="Noto Sans TC"/>
                <w:sz w:val="20"/>
              </w:rPr>
            </w:r>
          </w:p>
        </w:tc>
        <w:tc>
          <w:tcPr>
            <w:tcW w:type="dxa" w:w="1928"/>
          </w:tcPr>
          <w:p>
            <w:r/>
            <w:r>
              <w:rPr>
                <w:rFonts w:ascii="Quicksand" w:hAnsi="Quicksand" w:cs="Quicksand" w:eastAsia="Noto Sans TC"/>
                <w:sz w:val="20"/>
              </w:rPr>
            </w:r>
          </w:p>
        </w:tc>
        <w:tc>
          <w:tcPr>
            <w:tcW w:type="dxa" w:w="1542"/>
          </w:tcPr>
          <w:p>
            <w:r/>
            <w:r>
              <w:rPr>
                <w:rFonts w:ascii="Quicksand" w:hAnsi="Quicksand" w:cs="Quicksand" w:eastAsia="Noto Sans TC"/>
                <w:sz w:val="20"/>
              </w:rPr>
            </w:r>
          </w:p>
        </w:tc>
        <w:tc>
          <w:tcPr>
            <w:tcW w:type="dxa" w:w="1542"/>
          </w:tcPr>
          <w:p>
            <w:r/>
            <w:r>
              <w:rPr>
                <w:rFonts w:ascii="Quicksand" w:hAnsi="Quicksand" w:cs="Quicksand" w:eastAsia="Noto Sans TC"/>
                <w:sz w:val="20"/>
              </w:rPr>
            </w:r>
          </w:p>
        </w:tc>
        <w:tc>
          <w:tcPr>
            <w:tcW w:type="dxa" w:w="1542"/>
          </w:tcPr>
          <w:p>
            <w:r/>
            <w:r>
              <w:rPr>
                <w:rFonts w:ascii="Quicksand" w:hAnsi="Quicksand" w:cs="Quicksand" w:eastAsia="Noto Sans TC"/>
                <w:sz w:val="20"/>
              </w:rPr>
            </w:r>
          </w:p>
        </w:tc>
      </w:tr>
      <w:tr>
        <w:tc>
          <w:tcPr>
            <w:tcW w:type="dxa" w:w="1157"/>
          </w:tcPr>
          <w:p>
            <w:r/>
            <w:r>
              <w:rPr>
                <w:rFonts w:ascii="Quicksand" w:hAnsi="Quicksand" w:cs="Quicksand" w:eastAsia="Noto Sans TC"/>
                <w:sz w:val="20"/>
              </w:rPr>
            </w:r>
          </w:p>
        </w:tc>
        <w:tc>
          <w:tcPr>
            <w:tcW w:type="dxa" w:w="1928"/>
          </w:tcPr>
          <w:p>
            <w:r/>
            <w:r>
              <w:rPr>
                <w:rFonts w:ascii="Quicksand" w:hAnsi="Quicksand" w:cs="Quicksand" w:eastAsia="Noto Sans TC"/>
                <w:sz w:val="20"/>
              </w:rPr>
            </w:r>
          </w:p>
        </w:tc>
        <w:tc>
          <w:tcPr>
            <w:tcW w:type="dxa" w:w="1928"/>
          </w:tcPr>
          <w:p>
            <w:r/>
            <w:r>
              <w:rPr>
                <w:rFonts w:ascii="Quicksand" w:hAnsi="Quicksand" w:cs="Quicksand" w:eastAsia="Noto Sans TC"/>
                <w:sz w:val="20"/>
              </w:rPr>
            </w:r>
          </w:p>
        </w:tc>
        <w:tc>
          <w:tcPr>
            <w:tcW w:type="dxa" w:w="1542"/>
          </w:tcPr>
          <w:p>
            <w:r/>
            <w:r>
              <w:rPr>
                <w:rFonts w:ascii="Quicksand" w:hAnsi="Quicksand" w:cs="Quicksand" w:eastAsia="Noto Sans TC"/>
                <w:sz w:val="20"/>
              </w:rPr>
            </w:r>
          </w:p>
        </w:tc>
        <w:tc>
          <w:tcPr>
            <w:tcW w:type="dxa" w:w="1542"/>
          </w:tcPr>
          <w:p>
            <w:r/>
            <w:r>
              <w:rPr>
                <w:rFonts w:ascii="Quicksand" w:hAnsi="Quicksand" w:cs="Quicksand" w:eastAsia="Noto Sans TC"/>
                <w:sz w:val="20"/>
              </w:rPr>
            </w:r>
          </w:p>
        </w:tc>
        <w:tc>
          <w:tcPr>
            <w:tcW w:type="dxa" w:w="1542"/>
          </w:tcPr>
          <w:p>
            <w:r/>
            <w:r>
              <w:rPr>
                <w:rFonts w:ascii="Quicksand" w:hAnsi="Quicksand" w:cs="Quicksand" w:eastAsia="Noto Sans TC"/>
                <w:sz w:val="20"/>
              </w:rPr>
            </w:r>
          </w:p>
        </w:tc>
      </w:tr>
      <w:tr>
        <w:tc>
          <w:tcPr>
            <w:tcW w:type="dxa" w:w="1157"/>
          </w:tcPr>
          <w:p>
            <w:r/>
            <w:r>
              <w:rPr>
                <w:rFonts w:ascii="Quicksand" w:hAnsi="Quicksand" w:cs="Quicksand" w:eastAsia="Noto Sans TC"/>
                <w:sz w:val="20"/>
              </w:rPr>
            </w:r>
          </w:p>
        </w:tc>
        <w:tc>
          <w:tcPr>
            <w:tcW w:type="dxa" w:w="1928"/>
          </w:tcPr>
          <w:p>
            <w:r/>
            <w:r>
              <w:rPr>
                <w:rFonts w:ascii="Quicksand" w:hAnsi="Quicksand" w:cs="Quicksand" w:eastAsia="Noto Sans TC"/>
                <w:sz w:val="20"/>
              </w:rPr>
            </w:r>
          </w:p>
        </w:tc>
        <w:tc>
          <w:tcPr>
            <w:tcW w:type="dxa" w:w="1928"/>
          </w:tcPr>
          <w:p>
            <w:r/>
            <w:r>
              <w:rPr>
                <w:rFonts w:ascii="Quicksand" w:hAnsi="Quicksand" w:cs="Quicksand" w:eastAsia="Noto Sans TC"/>
                <w:sz w:val="20"/>
              </w:rPr>
            </w:r>
          </w:p>
        </w:tc>
        <w:tc>
          <w:tcPr>
            <w:tcW w:type="dxa" w:w="1542"/>
          </w:tcPr>
          <w:p>
            <w:r/>
            <w:r>
              <w:rPr>
                <w:rFonts w:ascii="Quicksand" w:hAnsi="Quicksand" w:cs="Quicksand" w:eastAsia="Noto Sans TC"/>
                <w:sz w:val="20"/>
              </w:rPr>
            </w:r>
          </w:p>
        </w:tc>
        <w:tc>
          <w:tcPr>
            <w:tcW w:type="dxa" w:w="1542"/>
          </w:tcPr>
          <w:p>
            <w:r/>
            <w:r>
              <w:rPr>
                <w:rFonts w:ascii="Quicksand" w:hAnsi="Quicksand" w:cs="Quicksand" w:eastAsia="Noto Sans TC"/>
                <w:sz w:val="20"/>
              </w:rPr>
            </w:r>
          </w:p>
        </w:tc>
        <w:tc>
          <w:tcPr>
            <w:tcW w:type="dxa" w:w="1542"/>
          </w:tcPr>
          <w:p>
            <w:r/>
            <w:r>
              <w:rPr>
                <w:rFonts w:ascii="Quicksand" w:hAnsi="Quicksand" w:cs="Quicksand" w:eastAsia="Noto Sans TC"/>
                <w:sz w:val="20"/>
              </w:rPr>
            </w:r>
          </w:p>
        </w:tc>
      </w:tr>
      <w:tr>
        <w:tc>
          <w:tcPr>
            <w:tcW w:type="dxa" w:w="1157"/>
          </w:tcPr>
          <w:p>
            <w:r/>
            <w:r>
              <w:rPr>
                <w:rFonts w:ascii="Quicksand" w:hAnsi="Quicksand" w:cs="Quicksand" w:eastAsia="Noto Sans TC"/>
                <w:sz w:val="20"/>
              </w:rPr>
            </w:r>
          </w:p>
        </w:tc>
        <w:tc>
          <w:tcPr>
            <w:tcW w:type="dxa" w:w="1928"/>
          </w:tcPr>
          <w:p>
            <w:r/>
            <w:r>
              <w:rPr>
                <w:rFonts w:ascii="Quicksand" w:hAnsi="Quicksand" w:cs="Quicksand" w:eastAsia="Noto Sans TC"/>
                <w:sz w:val="20"/>
              </w:rPr>
            </w:r>
          </w:p>
        </w:tc>
        <w:tc>
          <w:tcPr>
            <w:tcW w:type="dxa" w:w="1928"/>
          </w:tcPr>
          <w:p>
            <w:r/>
            <w:r>
              <w:rPr>
                <w:rFonts w:ascii="Quicksand" w:hAnsi="Quicksand" w:cs="Quicksand" w:eastAsia="Noto Sans TC"/>
                <w:sz w:val="20"/>
              </w:rPr>
            </w:r>
          </w:p>
        </w:tc>
        <w:tc>
          <w:tcPr>
            <w:tcW w:type="dxa" w:w="1542"/>
          </w:tcPr>
          <w:p>
            <w:r/>
            <w:r>
              <w:rPr>
                <w:rFonts w:ascii="Quicksand" w:hAnsi="Quicksand" w:cs="Quicksand" w:eastAsia="Noto Sans TC"/>
                <w:sz w:val="20"/>
              </w:rPr>
            </w:r>
          </w:p>
        </w:tc>
        <w:tc>
          <w:tcPr>
            <w:tcW w:type="dxa" w:w="1542"/>
          </w:tcPr>
          <w:p>
            <w:r/>
            <w:r>
              <w:rPr>
                <w:rFonts w:ascii="Quicksand" w:hAnsi="Quicksand" w:cs="Quicksand" w:eastAsia="Noto Sans TC"/>
                <w:sz w:val="20"/>
              </w:rPr>
            </w:r>
          </w:p>
        </w:tc>
        <w:tc>
          <w:tcPr>
            <w:tcW w:type="dxa" w:w="1542"/>
          </w:tcPr>
          <w:p>
            <w:r/>
            <w:r>
              <w:rPr>
                <w:rFonts w:ascii="Quicksand" w:hAnsi="Quicksand" w:cs="Quicksand" w:eastAsia="Noto Sans TC"/>
                <w:sz w:val="20"/>
              </w:rPr>
            </w:r>
          </w:p>
        </w:tc>
      </w:tr>
      <w:tr>
        <w:tc>
          <w:tcPr>
            <w:tcW w:type="dxa" w:w="1157"/>
          </w:tcPr>
          <w:p>
            <w:r/>
            <w:r>
              <w:rPr>
                <w:rFonts w:ascii="Quicksand" w:hAnsi="Quicksand" w:cs="Quicksand" w:eastAsia="Noto Sans TC"/>
                <w:sz w:val="20"/>
              </w:rPr>
            </w:r>
          </w:p>
        </w:tc>
        <w:tc>
          <w:tcPr>
            <w:tcW w:type="dxa" w:w="1928"/>
          </w:tcPr>
          <w:p>
            <w:r/>
            <w:r>
              <w:rPr>
                <w:rFonts w:ascii="Quicksand" w:hAnsi="Quicksand" w:cs="Quicksand" w:eastAsia="Noto Sans TC"/>
                <w:sz w:val="20"/>
              </w:rPr>
            </w:r>
          </w:p>
        </w:tc>
        <w:tc>
          <w:tcPr>
            <w:tcW w:type="dxa" w:w="1928"/>
          </w:tcPr>
          <w:p>
            <w:r/>
            <w:r>
              <w:rPr>
                <w:rFonts w:ascii="Quicksand" w:hAnsi="Quicksand" w:cs="Quicksand" w:eastAsia="Noto Sans TC"/>
                <w:sz w:val="20"/>
              </w:rPr>
            </w:r>
          </w:p>
        </w:tc>
        <w:tc>
          <w:tcPr>
            <w:tcW w:type="dxa" w:w="1542"/>
          </w:tcPr>
          <w:p>
            <w:r/>
            <w:r>
              <w:rPr>
                <w:rFonts w:ascii="Quicksand" w:hAnsi="Quicksand" w:cs="Quicksand" w:eastAsia="Noto Sans TC"/>
                <w:sz w:val="20"/>
              </w:rPr>
            </w:r>
          </w:p>
        </w:tc>
        <w:tc>
          <w:tcPr>
            <w:tcW w:type="dxa" w:w="1542"/>
          </w:tcPr>
          <w:p>
            <w:r/>
            <w:r>
              <w:rPr>
                <w:rFonts w:ascii="Quicksand" w:hAnsi="Quicksand" w:cs="Quicksand" w:eastAsia="Noto Sans TC"/>
                <w:sz w:val="20"/>
              </w:rPr>
            </w:r>
          </w:p>
        </w:tc>
        <w:tc>
          <w:tcPr>
            <w:tcW w:type="dxa" w:w="1542"/>
          </w:tcPr>
          <w:p>
            <w:r/>
            <w:r>
              <w:rPr>
                <w:rFonts w:ascii="Quicksand" w:hAnsi="Quicksand" w:cs="Quicksand" w:eastAsia="Noto Sans TC"/>
                <w:sz w:val="20"/>
              </w:rPr>
            </w:r>
          </w:p>
        </w:tc>
      </w:tr>
    </w:tbl>
    <w:p>
      <w:pPr>
        <w:spacing w:after="120"/>
      </w:pPr>
    </w:p>
    <w:p>
      <w:r>
        <w:rPr>
          <w:rFonts w:ascii="Quicksand" w:hAnsi="Quicksand" w:cs="Quicksand" w:eastAsia="Noto Sans TC"/>
          <w:b/>
          <w:color w:val="080808"/>
          <w:sz w:val="18"/>
        </w:rPr>
        <w:t>Not graded, no grades recorded, nothing in staff appraisal. The record goes back to the teacher; the observer keeps no copy.</w:t>
      </w:r>
    </w:p>
    <w:p>
      <w:r>
        <w:rPr>
          <w:rFonts w:ascii="Quicksand" w:hAnsi="Quicksand" w:cs="Quicksand" w:eastAsia="Noto Sans TC"/>
          <w:b w:val="0"/>
          <w:color w:val="6F6F6F"/>
          <w:sz w:val="18"/>
        </w:rPr>
        <w:t>Column 6, for example: Activity 2: three of four groups adopted the tool's example without any checking step.</w:t>
      </w:r>
    </w:p>
    <w:p>
      <w:pPr>
        <w:sectPr>
          <w:pgSz w:w="16838" w:h="11906" w:orient="landscape"/>
          <w:pgMar w:top="680" w:right="680" w:bottom="680" w:left="680" w:header="720" w:footer="720" w:gutter="0"/>
          <w:cols w:space="720"/>
          <w:docGrid w:linePitch="360"/>
        </w:sectPr>
      </w:pPr>
    </w:p>
    <w:p>
      <w:pPr>
        <w:spacing w:before="240" w:after="80"/>
      </w:pPr>
      <w:r>
        <w:rPr>
          <w:rFonts w:ascii="Quicksand" w:hAnsi="Quicksand" w:cs="Quicksand" w:eastAsia="Noto Sans TC"/>
          <w:b/>
          <w:color w:val="E10707"/>
          <w:sz w:val="32"/>
        </w:rPr>
        <w:t>Part 3  The 30-minute feedback meeting</w:t>
      </w:r>
    </w:p>
    <w:tbl>
      <w:tblPr>
        <w:tblStyle w:val="TableGrid"/>
        <w:tblW w:type="auto" w:w="0"/>
        <w:jc w:val="left"/>
        <w:tblLook w:firstColumn="1" w:firstRow="1" w:lastColumn="0" w:lastRow="0" w:noHBand="0" w:noVBand="1" w:val="04A0"/>
      </w:tblPr>
      <w:tblGrid>
        <w:gridCol w:w="3289"/>
        <w:gridCol w:w="3289"/>
        <w:gridCol w:w="3289"/>
      </w:tblGrid>
      <w:tr>
        <w:tc>
          <w:tcPr>
            <w:tcW w:type="dxa" w:w="1701"/>
            <w:shd w:val="clear" w:fill="E10707"/>
          </w:tcPr>
          <w:p>
            <w:r/>
            <w:r>
              <w:rPr>
                <w:rFonts w:ascii="Quicksand" w:hAnsi="Quicksand" w:cs="Quicksand" w:eastAsia="Noto Sans TC"/>
                <w:b/>
                <w:color w:val="FFFFFF"/>
                <w:sz w:val="20"/>
              </w:rPr>
              <w:t>Time</w:t>
            </w:r>
          </w:p>
        </w:tc>
        <w:tc>
          <w:tcPr>
            <w:tcW w:type="dxa" w:w="6236"/>
            <w:shd w:val="clear" w:fill="E10707"/>
          </w:tcPr>
          <w:p>
            <w:r/>
            <w:r>
              <w:rPr>
                <w:rFonts w:ascii="Quicksand" w:hAnsi="Quicksand" w:cs="Quicksand" w:eastAsia="Noto Sans TC"/>
                <w:b/>
                <w:color w:val="FFFFFF"/>
                <w:sz w:val="20"/>
              </w:rPr>
              <w:t>Content</w:t>
            </w:r>
          </w:p>
        </w:tc>
        <w:tc>
          <w:tcPr>
            <w:tcW w:type="dxa" w:w="1701"/>
            <w:shd w:val="clear" w:fill="E10707"/>
          </w:tcPr>
          <w:p>
            <w:r/>
            <w:r>
              <w:rPr>
                <w:rFonts w:ascii="Quicksand" w:hAnsi="Quicksand" w:cs="Quicksand" w:eastAsia="Noto Sans TC"/>
                <w:b/>
                <w:color w:val="FFFFFF"/>
                <w:sz w:val="20"/>
              </w:rPr>
              <w:t>Who speaks</w:t>
            </w:r>
          </w:p>
        </w:tc>
      </w:tr>
      <w:tr>
        <w:tc>
          <w:tcPr>
            <w:tcW w:type="dxa" w:w="1701"/>
          </w:tcPr>
          <w:p>
            <w:r/>
            <w:r>
              <w:rPr>
                <w:rFonts w:ascii="Quicksand" w:hAnsi="Quicksand" w:cs="Quicksand" w:eastAsia="Noto Sans TC"/>
                <w:sz w:val="20"/>
              </w:rPr>
              <w:t>0-5 min</w:t>
            </w:r>
          </w:p>
        </w:tc>
        <w:tc>
          <w:tcPr>
            <w:tcW w:type="dxa" w:w="6236"/>
          </w:tcPr>
          <w:p>
            <w:r/>
            <w:r>
              <w:rPr>
                <w:rFonts w:ascii="Quicksand" w:hAnsi="Quicksand" w:cs="Quicksand" w:eastAsia="Noto Sans TC"/>
                <w:sz w:val="20"/>
              </w:rPr>
              <w:t>The teacher speaks first: what I meant to achieve, what actually happened, where it differed</w:t>
            </w:r>
          </w:p>
        </w:tc>
        <w:tc>
          <w:tcPr>
            <w:tcW w:type="dxa" w:w="1701"/>
          </w:tcPr>
          <w:p>
            <w:r/>
            <w:r>
              <w:rPr>
                <w:rFonts w:ascii="Quicksand" w:hAnsi="Quicksand" w:cs="Quicksand" w:eastAsia="Noto Sans TC"/>
                <w:sz w:val="20"/>
              </w:rPr>
              <w:t>The teacher</w:t>
            </w:r>
          </w:p>
        </w:tc>
      </w:tr>
      <w:tr>
        <w:tc>
          <w:tcPr>
            <w:tcW w:type="dxa" w:w="1701"/>
          </w:tcPr>
          <w:p>
            <w:r/>
            <w:r>
              <w:rPr>
                <w:rFonts w:ascii="Quicksand" w:hAnsi="Quicksand" w:cs="Quicksand" w:eastAsia="Noto Sans TC"/>
                <w:sz w:val="20"/>
              </w:rPr>
              <w:t>5-13 min</w:t>
            </w:r>
          </w:p>
        </w:tc>
        <w:tc>
          <w:tcPr>
            <w:tcW w:type="dxa" w:w="6236"/>
          </w:tcPr>
          <w:p>
            <w:r/>
            <w:r>
              <w:rPr>
                <w:rFonts w:ascii="Quicksand" w:hAnsi="Quicksand" w:cs="Quicksand" w:eastAsia="Noto Sans TC"/>
                <w:sz w:val="20"/>
              </w:rPr>
              <w:t>The observer reads only the facts on the record, column by column, adding no evaluation; then asks "have I recorded anything wrongly?"</w:t>
            </w:r>
          </w:p>
        </w:tc>
        <w:tc>
          <w:tcPr>
            <w:tcW w:type="dxa" w:w="1701"/>
          </w:tcPr>
          <w:p>
            <w:r/>
            <w:r>
              <w:rPr>
                <w:rFonts w:ascii="Quicksand" w:hAnsi="Quicksand" w:cs="Quicksand" w:eastAsia="Noto Sans TC"/>
                <w:sz w:val="20"/>
              </w:rPr>
              <w:t>The observer</w:t>
            </w:r>
          </w:p>
        </w:tc>
      </w:tr>
      <w:tr>
        <w:tc>
          <w:tcPr>
            <w:tcW w:type="dxa" w:w="1701"/>
          </w:tcPr>
          <w:p>
            <w:r/>
            <w:r>
              <w:rPr>
                <w:rFonts w:ascii="Quicksand" w:hAnsi="Quicksand" w:cs="Quicksand" w:eastAsia="Noto Sans TC"/>
                <w:sz w:val="20"/>
              </w:rPr>
              <w:t>13-20 min</w:t>
            </w:r>
          </w:p>
        </w:tc>
        <w:tc>
          <w:tcPr>
            <w:tcW w:type="dxa" w:w="6236"/>
          </w:tcPr>
          <w:p>
            <w:r/>
            <w:r>
              <w:rPr>
                <w:rFonts w:ascii="Quicksand" w:hAnsi="Quicksand" w:cs="Quicksand" w:eastAsia="Noto Sans TC"/>
                <w:sz w:val="20"/>
              </w:rPr>
              <w:t>Choose one thing to improve together — one only; start from column 6, but the teacher chooses</w:t>
            </w:r>
          </w:p>
        </w:tc>
        <w:tc>
          <w:tcPr>
            <w:tcW w:type="dxa" w:w="1701"/>
          </w:tcPr>
          <w:p>
            <w:r/>
            <w:r>
              <w:rPr>
                <w:rFonts w:ascii="Quicksand" w:hAnsi="Quicksand" w:cs="Quicksand" w:eastAsia="Noto Sans TC"/>
                <w:sz w:val="20"/>
              </w:rPr>
              <w:t>Both</w:t>
            </w:r>
          </w:p>
        </w:tc>
      </w:tr>
      <w:tr>
        <w:tc>
          <w:tcPr>
            <w:tcW w:type="dxa" w:w="1701"/>
          </w:tcPr>
          <w:p>
            <w:r/>
            <w:r>
              <w:rPr>
                <w:rFonts w:ascii="Quicksand" w:hAnsi="Quicksand" w:cs="Quicksand" w:eastAsia="Noto Sans TC"/>
                <w:sz w:val="20"/>
              </w:rPr>
              <w:t>20-27 min</w:t>
            </w:r>
          </w:p>
        </w:tc>
        <w:tc>
          <w:tcPr>
            <w:tcW w:type="dxa" w:w="6236"/>
          </w:tcPr>
          <w:p>
            <w:r/>
            <w:r>
              <w:rPr>
                <w:rFonts w:ascii="Quicksand" w:hAnsi="Quicksand" w:cs="Quicksand" w:eastAsia="Noto Sans TC"/>
                <w:sz w:val="20"/>
              </w:rPr>
              <w:t>Write one change that can be made next time: which activity, changed how, what is needed</w:t>
            </w:r>
          </w:p>
        </w:tc>
        <w:tc>
          <w:tcPr>
            <w:tcW w:type="dxa" w:w="1701"/>
          </w:tcPr>
          <w:p>
            <w:r/>
            <w:r>
              <w:rPr>
                <w:rFonts w:ascii="Quicksand" w:hAnsi="Quicksand" w:cs="Quicksand" w:eastAsia="Noto Sans TC"/>
                <w:sz w:val="20"/>
              </w:rPr>
              <w:t>Both</w:t>
            </w:r>
          </w:p>
        </w:tc>
      </w:tr>
      <w:tr>
        <w:tc>
          <w:tcPr>
            <w:tcW w:type="dxa" w:w="1701"/>
          </w:tcPr>
          <w:p>
            <w:r/>
            <w:r>
              <w:rPr>
                <w:rFonts w:ascii="Quicksand" w:hAnsi="Quicksand" w:cs="Quicksand" w:eastAsia="Noto Sans TC"/>
                <w:sz w:val="20"/>
              </w:rPr>
              <w:t>27-30 min</w:t>
            </w:r>
          </w:p>
        </w:tc>
        <w:tc>
          <w:tcPr>
            <w:tcW w:type="dxa" w:w="6236"/>
          </w:tcPr>
          <w:p>
            <w:r/>
            <w:r>
              <w:rPr>
                <w:rFonts w:ascii="Quicksand" w:hAnsi="Quicksand" w:cs="Quicksand" w:eastAsia="Noto Sans TC"/>
                <w:sz w:val="20"/>
              </w:rPr>
              <w:t>Say where the record goes: back to the teacher; the one thing goes into the panel's self-evaluation record</w:t>
            </w:r>
          </w:p>
        </w:tc>
        <w:tc>
          <w:tcPr>
            <w:tcW w:type="dxa" w:w="1701"/>
          </w:tcPr>
          <w:p>
            <w:r/>
            <w:r>
              <w:rPr>
                <w:rFonts w:ascii="Quicksand" w:hAnsi="Quicksand" w:cs="Quicksand" w:eastAsia="Noto Sans TC"/>
                <w:sz w:val="20"/>
              </w:rPr>
              <w:t>The observer</w:t>
            </w:r>
          </w:p>
        </w:tc>
      </w:tr>
    </w:tbl>
    <w:p>
      <w:pPr>
        <w:spacing w:after="120"/>
      </w:pPr>
    </w:p>
    <w:p>
      <w:r>
        <w:rPr>
          <w:rFonts w:ascii="Quicksand" w:hAnsi="Quicksand" w:cs="Quicksand" w:eastAsia="Noto Sans TC"/>
          <w:b/>
          <w:color w:val="080808"/>
          <w:sz w:val="26"/>
        </w:rPr>
        <w:t>Three rules</w:t>
      </w:r>
    </w:p>
    <w:p>
      <w:pPr>
        <w:pStyle w:val="ListBullet"/>
      </w:pPr>
      <w:r>
        <w:rPr>
          <w:rFonts w:ascii="Quicksand" w:hAnsi="Quicksand" w:cs="Quicksand" w:eastAsia="Noto Sans TC"/>
          <w:sz w:val="21"/>
        </w:rPr>
        <w:t>The observer does not interrupt the first part: an evaluation before the teacher finishes explaining the design turns the meeting into a defence.</w:t>
      </w:r>
    </w:p>
    <w:p>
      <w:pPr>
        <w:pStyle w:val="ListBullet"/>
      </w:pPr>
      <w:r>
        <w:rPr>
          <w:rFonts w:ascii="Quicksand" w:hAnsi="Quicksand" w:cs="Quicksand" w:eastAsia="Noto Sans TC"/>
          <w:sz w:val="21"/>
        </w:rPr>
        <w:t>One thing only: three strengths and three weaknesses changes nothing next time.</w:t>
      </w:r>
    </w:p>
    <w:p>
      <w:pPr>
        <w:pStyle w:val="ListBullet"/>
      </w:pPr>
      <w:r>
        <w:rPr>
          <w:rFonts w:ascii="Quicksand" w:hAnsi="Quicksand" w:cs="Quicksand" w:eastAsia="Noto Sans TC"/>
          <w:sz w:val="21"/>
        </w:rPr>
        <w:t>The change must be small enough to make next time: "redesign the whole unit" is not a change; "add a three-step checking card to the desks in activity 2" is.</w:t>
      </w:r>
    </w:p>
    <w:p>
      <w:pPr>
        <w:spacing w:before="240" w:after="80"/>
      </w:pPr>
      <w:r>
        <w:rPr>
          <w:rFonts w:ascii="Quicksand" w:hAnsi="Quicksand" w:cs="Quicksand" w:eastAsia="Noto Sans TC"/>
          <w:b/>
          <w:color w:val="E10707"/>
          <w:sz w:val="32"/>
        </w:rPr>
        <w:t>Part 4  Three tests (used in the meeting, never as a score)</w:t>
      </w:r>
    </w:p>
    <w:tbl>
      <w:tblPr>
        <w:tblStyle w:val="TableGrid"/>
        <w:tblW w:type="auto" w:w="0"/>
        <w:jc w:val="left"/>
        <w:tblLook w:firstColumn="1" w:firstRow="1" w:lastColumn="0" w:lastRow="0" w:noHBand="0" w:noVBand="1" w:val="04A0"/>
      </w:tblPr>
      <w:tblGrid>
        <w:gridCol w:w="3289"/>
        <w:gridCol w:w="3289"/>
        <w:gridCol w:w="3289"/>
      </w:tblGrid>
      <w:tr>
        <w:tc>
          <w:tcPr>
            <w:tcW w:type="dxa" w:w="2409"/>
            <w:shd w:val="clear" w:fill="E10707"/>
          </w:tcPr>
          <w:p>
            <w:r/>
            <w:r>
              <w:rPr>
                <w:rFonts w:ascii="Quicksand" w:hAnsi="Quicksand" w:cs="Quicksand" w:eastAsia="Noto Sans TC"/>
                <w:b/>
                <w:color w:val="FFFFFF"/>
                <w:sz w:val="20"/>
              </w:rPr>
              <w:t>Test</w:t>
            </w:r>
          </w:p>
        </w:tc>
        <w:tc>
          <w:tcPr>
            <w:tcW w:type="dxa" w:w="3855"/>
            <w:shd w:val="clear" w:fill="E10707"/>
          </w:tcPr>
          <w:p>
            <w:r/>
            <w:r>
              <w:rPr>
                <w:rFonts w:ascii="Quicksand" w:hAnsi="Quicksand" w:cs="Quicksand" w:eastAsia="Noto Sans TC"/>
                <w:b/>
                <w:color w:val="FFFFFF"/>
                <w:sz w:val="20"/>
              </w:rPr>
              <w:t>Visible</w:t>
            </w:r>
          </w:p>
        </w:tc>
        <w:tc>
          <w:tcPr>
            <w:tcW w:type="dxa" w:w="3373"/>
            <w:shd w:val="clear" w:fill="E10707"/>
          </w:tcPr>
          <w:p>
            <w:r/>
            <w:r>
              <w:rPr>
                <w:rFonts w:ascii="Quicksand" w:hAnsi="Quicksand" w:cs="Quicksand" w:eastAsia="Noto Sans TC"/>
                <w:b/>
                <w:color w:val="FFFFFF"/>
                <w:sz w:val="20"/>
              </w:rPr>
              <w:t>Not visible</w:t>
            </w:r>
          </w:p>
        </w:tc>
      </w:tr>
      <w:tr>
        <w:tc>
          <w:tcPr>
            <w:tcW w:type="dxa" w:w="2409"/>
          </w:tcPr>
          <w:p>
            <w:r/>
            <w:r>
              <w:rPr>
                <w:rFonts w:ascii="Quicksand" w:hAnsi="Quicksand" w:cs="Quicksand" w:eastAsia="Noto Sans TC"/>
                <w:sz w:val="20"/>
              </w:rPr>
              <w:t>1 · The learning objective comes first</w:t>
            </w:r>
          </w:p>
        </w:tc>
        <w:tc>
          <w:tcPr>
            <w:tcW w:type="dxa" w:w="3855"/>
          </w:tcPr>
          <w:p>
            <w:r/>
            <w:r>
              <w:rPr>
                <w:rFonts w:ascii="Quicksand" w:hAnsi="Quicksand" w:cs="Quicksand" w:eastAsia="Noto Sans TC"/>
                <w:sz w:val="20"/>
              </w:rPr>
              <w:t>The lesson's use of AI states which objective it serves</w:t>
            </w:r>
          </w:p>
        </w:tc>
        <w:tc>
          <w:tcPr>
            <w:tcW w:type="dxa" w:w="3373"/>
          </w:tcPr>
          <w:p>
            <w:r/>
            <w:r>
              <w:rPr>
                <w:rFonts w:ascii="Quicksand" w:hAnsi="Quicksand" w:cs="Quicksand" w:eastAsia="Noto Sans TC"/>
                <w:sz w:val="20"/>
              </w:rPr>
              <w:t>It cannot, so the activity came before the objective</w:t>
            </w:r>
          </w:p>
        </w:tc>
      </w:tr>
      <w:tr>
        <w:tc>
          <w:tcPr>
            <w:tcW w:type="dxa" w:w="2409"/>
          </w:tcPr>
          <w:p>
            <w:r/>
            <w:r>
              <w:rPr>
                <w:rFonts w:ascii="Quicksand" w:hAnsi="Quicksand" w:cs="Quicksand" w:eastAsia="Noto Sans TC"/>
                <w:sz w:val="20"/>
              </w:rPr>
              <w:t>2 · The check sits at a key point</w:t>
            </w:r>
          </w:p>
        </w:tc>
        <w:tc>
          <w:tcPr>
            <w:tcW w:type="dxa" w:w="3855"/>
          </w:tcPr>
          <w:p>
            <w:r/>
            <w:r>
              <w:rPr>
                <w:rFonts w:ascii="Quicksand" w:hAnsi="Quicksand" w:cs="Quicksand" w:eastAsia="Noto Sans TC"/>
                <w:sz w:val="20"/>
              </w:rPr>
              <w:t>The teacher made a visible judgement at one of input, output or adoption</w:t>
            </w:r>
          </w:p>
        </w:tc>
        <w:tc>
          <w:tcPr>
            <w:tcW w:type="dxa" w:w="3373"/>
          </w:tcPr>
          <w:p>
            <w:r/>
            <w:r>
              <w:rPr>
                <w:rFonts w:ascii="Quicksand" w:hAnsi="Quicksand" w:cs="Quicksand" w:eastAsia="Noto Sans TC"/>
                <w:sz w:val="20"/>
              </w:rPr>
              <w:t>No judgement at any of the three: the tool is teaching</w:t>
            </w:r>
          </w:p>
        </w:tc>
      </w:tr>
      <w:tr>
        <w:tc>
          <w:tcPr>
            <w:tcW w:type="dxa" w:w="2409"/>
          </w:tcPr>
          <w:p>
            <w:r/>
            <w:r>
              <w:rPr>
                <w:rFonts w:ascii="Quicksand" w:hAnsi="Quicksand" w:cs="Quicksand" w:eastAsia="Noto Sans TC"/>
                <w:sz w:val="20"/>
              </w:rPr>
              <w:t>3 · The pupils left their own judgement in it</w:t>
            </w:r>
          </w:p>
        </w:tc>
        <w:tc>
          <w:tcPr>
            <w:tcW w:type="dxa" w:w="3855"/>
          </w:tcPr>
          <w:p>
            <w:r/>
            <w:r>
              <w:rPr>
                <w:rFonts w:ascii="Quicksand" w:hAnsi="Quicksand" w:cs="Quicksand" w:eastAsia="Noto Sans TC"/>
                <w:sz w:val="20"/>
              </w:rPr>
              <w:t>Pupils can say what they checked and changed, and the product shows their choices</w:t>
            </w:r>
          </w:p>
        </w:tc>
        <w:tc>
          <w:tcPr>
            <w:tcW w:type="dxa" w:w="3373"/>
          </w:tcPr>
          <w:p>
            <w:r/>
            <w:r>
              <w:rPr>
                <w:rFonts w:ascii="Quicksand" w:hAnsi="Quicksand" w:cs="Quicksand" w:eastAsia="Noto Sans TC"/>
                <w:sz w:val="20"/>
              </w:rPr>
              <w:t>A product with no trace of the pupil's hand</w:t>
            </w:r>
          </w:p>
        </w:tc>
      </w:tr>
    </w:tbl>
    <w:p>
      <w:pPr>
        <w:spacing w:after="120"/>
      </w:pPr>
    </w:p>
    <w:p>
      <w:pPr>
        <w:pStyle w:val="ListBullet"/>
      </w:pPr>
      <w:r>
        <w:rPr>
          <w:rFonts w:ascii="Quicksand" w:hAnsi="Quicksand" w:cs="Quicksand" w:eastAsia="Noto Sans TC"/>
          <w:sz w:val="21"/>
        </w:rPr>
        <w:t>Do not total the three into a score or write "all three met"; use them to decide what the meeting discusses.</w:t>
      </w:r>
    </w:p>
    <w:p>
      <w:pPr>
        <w:pStyle w:val="ListBullet"/>
      </w:pPr>
      <w:r>
        <w:rPr>
          <w:rFonts w:ascii="Quicksand" w:hAnsi="Quicksand" w:cs="Quicksand" w:eastAsia="Noto Sans TC"/>
          <w:sz w:val="21"/>
        </w:rPr>
        <w:t>Do not apply them during the lesson, or the record is led by the conclusion.</w:t>
      </w:r>
    </w:p>
    <w:p>
      <w:pPr>
        <w:pStyle w:val="ListBullet"/>
      </w:pPr>
      <w:r>
        <w:rPr>
          <w:rFonts w:ascii="Quicksand" w:hAnsi="Quicksand" w:cs="Quicksand" w:eastAsia="Noto Sans TC"/>
          <w:sz w:val="21"/>
        </w:rPr>
        <w:t>If the briefing already shows that none of the three would be met, change the design rather than teach and observe it.</w:t>
      </w:r>
    </w:p>
    <w:p>
      <w:pPr>
        <w:spacing w:before="240" w:after="80"/>
      </w:pPr>
      <w:r>
        <w:rPr>
          <w:rFonts w:ascii="Quicksand" w:hAnsi="Quicksand" w:cs="Quicksand" w:eastAsia="Noto Sans TC"/>
          <w:b/>
          <w:color w:val="E10707"/>
          <w:sz w:val="32"/>
        </w:rPr>
        <w:t>Part 5  Joining the school's self-evaluation cycle</w:t>
      </w:r>
    </w:p>
    <w:p>
      <w:pPr>
        <w:pStyle w:val="ListBullet"/>
      </w:pPr>
      <w:r>
        <w:rPr>
          <w:rFonts w:ascii="Quicksand" w:hAnsi="Quicksand" w:cs="Quicksand" w:eastAsia="Noto Sans TC"/>
          <w:sz w:val="21"/>
        </w:rPr>
        <w:t>Two or three a term, no more: more observations with hasty meetings are worth less than two done properly.</w:t>
      </w:r>
    </w:p>
    <w:p>
      <w:pPr>
        <w:pStyle w:val="ListBullet"/>
      </w:pPr>
      <w:r>
        <w:rPr>
          <w:rFonts w:ascii="Quicksand" w:hAnsi="Quicksand" w:cs="Quicksand" w:eastAsia="Noto Sans TC"/>
          <w:sz w:val="21"/>
        </w:rPr>
        <w:t>Copy the one thing to improve into the panel's annual self-evaluation record: one line each, with the date, the class and the activity.</w:t>
      </w:r>
    </w:p>
    <w:p>
      <w:pPr>
        <w:pStyle w:val="ListBullet"/>
      </w:pPr>
      <w:r>
        <w:rPr>
          <w:rFonts w:ascii="Quicksand" w:hAnsi="Quicksand" w:cs="Quicksand" w:eastAsia="Noto Sans TC"/>
          <w:sz w:val="21"/>
        </w:rPr>
        <w:t>Join the three school-level nodes: the observation and meeting are evidence for implementation; the panel's record is used at evaluation; at planning it decides which subject and which kind of lesson to look at next year.</w:t>
      </w:r>
    </w:p>
    <w:p>
      <w:pPr>
        <w:pStyle w:val="ListBullet"/>
      </w:pPr>
      <w:r>
        <w:rPr>
          <w:rFonts w:ascii="Quicksand" w:hAnsi="Quicksand" w:cs="Quicksand" w:eastAsia="Noto Sans TC"/>
          <w:sz w:val="21"/>
        </w:rPr>
        <w:t>Do not create a second system: if the school already has an observation arrangement, put the six columns inside it.</w:t>
      </w:r>
    </w:p>
    <w:tbl>
      <w:tblPr>
        <w:tblW w:type="auto" w:w="0"/>
        <w:tblLook w:firstColumn="1" w:firstRow="1" w:lastColumn="0" w:lastRow="0" w:noHBand="0" w:noVBand="1" w:val="04A0"/>
      </w:tblPr>
      <w:tblGrid>
        <w:gridCol w:w="9866"/>
      </w:tblGrid>
      <w:tr>
        <w:tc>
          <w:tcPr>
            <w:tcW w:type="dxa" w:w="9866"/>
            <w:shd w:val="clear" w:fill="FDEAEA"/>
          </w:tcPr>
          <w:p>
            <w:r/>
            <w:r>
              <w:rPr>
                <w:rFonts w:ascii="Quicksand" w:hAnsi="Quicksand" w:cs="Quicksand" w:eastAsia="Noto Sans TC"/>
                <w:color w:val="080808"/>
                <w:sz w:val="20"/>
              </w:rPr>
              <w:t>When the meeting ends, the teacher should be holding a next action, not a set of comments. This page covers one lesson; school-wide or cross-subject coverage counting is outside its scope.</w:t>
            </w:r>
          </w:p>
        </w:tc>
      </w:tr>
    </w:tbl>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