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Responding to AI-generated harassment: four-step procedure and record form</w:t>
      </w:r>
    </w:p>
    <w:p>
      <w:r>
        <w:rPr>
          <w:rFonts w:ascii="Quicksand" w:hAnsi="Quicksand" w:cs="Quicksand" w:eastAsia="Noto Sans TC"/>
          <w:color w:val="6F6F6F"/>
          <w:sz w:val="24"/>
        </w:rPr>
        <w:t>Class teachers and parents · S1-S6 · version 1.0 (2026-11-05)</w:t>
      </w:r>
    </w:p>
    <w:p>
      <w:r>
        <w:rPr>
          <w:rFonts w:ascii="Quicksand" w:hAnsi="Quicksand" w:cs="Quicksand" w:eastAsia="Noto Sans TC"/>
          <w:color w:val="E10707"/>
          <w:sz w:val="18"/>
        </w:rPr>
        <w:t>──────────────────────────────────────────────</w:t>
      </w:r>
    </w:p>
    <w:p>
      <w:pPr>
        <w:spacing w:before="240" w:after="80"/>
      </w:pPr>
      <w:r>
        <w:rPr>
          <w:rFonts w:ascii="Quicksand" w:hAnsi="Quicksand" w:cs="Quicksand" w:eastAsia="Noto Sans TC"/>
          <w:b/>
          <w:color w:val="080808"/>
          <w:sz w:val="24"/>
        </w:rPr>
        <w:t>The five header facts</w:t>
      </w:r>
    </w:p>
    <w:p>
      <w:r>
        <w:rPr>
          <w:rFonts w:ascii="Quicksand" w:hAnsi="Quicksand" w:cs="Quicksand" w:eastAsia="Noto Sans TC"/>
          <w:b/>
          <w:color w:val="6F6F6F"/>
          <w:sz w:val="21"/>
        </w:rPr>
        <w:t xml:space="preserve">Stage: </w:t>
      </w:r>
      <w:r>
        <w:rPr>
          <w:rFonts w:ascii="Quicksand" w:hAnsi="Quicksand" w:cs="Quicksand" w:eastAsia="Noto Sans TC"/>
          <w:b/>
          <w:color w:val="080808"/>
          <w:sz w:val="21"/>
        </w:rPr>
        <w:t>S1-S6</w:t>
      </w:r>
    </w:p>
    <w:p>
      <w:r>
        <w:rPr>
          <w:rFonts w:ascii="Quicksand" w:hAnsi="Quicksand" w:cs="Quicksand" w:eastAsia="Noto Sans TC"/>
          <w:b/>
          <w:color w:val="6F6F6F"/>
          <w:sz w:val="21"/>
        </w:rPr>
        <w:t xml:space="preserve">Subject: </w:t>
      </w:r>
      <w:r>
        <w:rPr>
          <w:rFonts w:ascii="Quicksand" w:hAnsi="Quicksand" w:cs="Quicksand" w:eastAsia="Noto Sans TC"/>
          <w:b/>
          <w:color w:val="080808"/>
          <w:sz w:val="21"/>
        </w:rPr>
        <w:t>Class teachers and parents</w:t>
      </w:r>
    </w:p>
    <w:p>
      <w:r>
        <w:rPr>
          <w:rFonts w:ascii="Quicksand" w:hAnsi="Quicksand" w:cs="Quicksand" w:eastAsia="Noto Sans TC"/>
          <w:b/>
          <w:color w:val="6F6F6F"/>
          <w:sz w:val="21"/>
        </w:rPr>
        <w:t xml:space="preserve">Learning strand: </w:t>
      </w:r>
      <w:r>
        <w:rPr>
          <w:rFonts w:ascii="Quicksand" w:hAnsi="Quicksand" w:cs="Quicksand" w:eastAsia="Noto Sans TC"/>
          <w:b/>
          <w:color w:val="080808"/>
          <w:sz w:val="21"/>
        </w:rPr>
        <w:t>Reflection on the application of AI</w:t>
      </w:r>
    </w:p>
    <w:p>
      <w:r>
        <w:rPr>
          <w:rFonts w:ascii="Quicksand" w:hAnsi="Quicksand" w:cs="Quicksand" w:eastAsia="Noto Sans TC"/>
          <w:b/>
          <w:color w:val="6F6F6F"/>
          <w:sz w:val="21"/>
        </w:rPr>
        <w:t xml:space="preserve">Official documents: </w:t>
      </w:r>
      <w:r>
        <w:rPr>
          <w:rFonts w:ascii="Quicksand" w:hAnsi="Quicksand" w:cs="Quicksand" w:eastAsia="Noto Sans TC"/>
          <w:b/>
          <w:color w:val="080808"/>
          <w:sz w:val="21"/>
        </w:rPr>
        <w:t>Blueprint for Digital Education Development in Primary and Secondary Schools; AI Literacy Learning Framework for Primary and Secondary Schools; EDBCM No. 156/2026 (Supplement II, Teacher Information Pack, "4. Key messages, 4. For students", compliance with the law and safety; Supplement I, section 4, critical thinking and attention to student wellbeing)</w:t>
      </w:r>
    </w:p>
    <w:p>
      <w:r>
        <w:rPr>
          <w:rFonts w:ascii="Quicksand" w:hAnsi="Quicksand" w:cs="Quicksand" w:eastAsia="Noto Sans TC"/>
          <w:b/>
          <w:color w:val="6F6F6F"/>
          <w:sz w:val="21"/>
        </w:rPr>
        <w:t xml:space="preserve">Time to prepare: </w:t>
      </w:r>
      <w:r>
        <w:rPr>
          <w:rFonts w:ascii="Quicksand" w:hAnsi="Quicksand" w:cs="Quicksand" w:eastAsia="Noto Sans TC"/>
          <w:b/>
          <w:color w:val="080808"/>
          <w:sz w:val="21"/>
        </w:rPr>
        <w:t>about 30 minutes to introduce at a staff meeting beforehand; used as it stands on the day</w:t>
      </w:r>
    </w:p>
    <w:p>
      <w:pPr>
        <w:spacing w:before="240" w:after="80"/>
      </w:pPr>
      <w:r>
        <w:rPr>
          <w:rFonts w:ascii="Quicksand" w:hAnsi="Quicksand" w:cs="Quicksand" w:eastAsia="Noto Sans TC"/>
          <w:b/>
          <w:color w:val="080808"/>
          <w:sz w:val="24"/>
        </w:rPr>
        <w:t>Read this first: three statements</w:t>
      </w:r>
    </w:p>
    <w:p>
      <w:pPr>
        <w:pStyle w:val="ListBullet"/>
      </w:pPr>
      <w:r>
        <w:rPr>
          <w:rFonts w:ascii="Quicksand" w:hAnsi="Quicksand" w:cs="Quicksand" w:eastAsia="Noto Sans TC"/>
          <w:sz w:val="21"/>
        </w:rPr>
        <w:t>The name, the four steps, the three situations and the timeline are this resource's suggestion, not an Education Bureau requirement. The Bureau requires that AI is not used for cyberbullying and that schools attend to student wellbeing; no document prescribes the steps, the form or a reporting deadline.</w:t>
      </w:r>
    </w:p>
    <w:p>
      <w:pPr>
        <w:pStyle w:val="ListBullet"/>
      </w:pPr>
      <w:r>
        <w:rPr>
          <w:rFonts w:ascii="Quicksand" w:hAnsi="Quicksand" w:cs="Quicksand" w:eastAsia="Noto Sans TC"/>
          <w:sz w:val="21"/>
        </w:rPr>
        <w:t>This page does not replace the school's existing anti-bullying, complaints or personnel procedures. The school's own arrangements decide.</w:t>
      </w:r>
    </w:p>
    <w:p>
      <w:pPr>
        <w:pStyle w:val="ListBullet"/>
      </w:pPr>
      <w:r>
        <w:rPr>
          <w:rFonts w:ascii="Quicksand" w:hAnsi="Quicksand" w:cs="Quicksand" w:eastAsia="Noto Sans TC"/>
          <w:sz w:val="21"/>
        </w:rPr>
        <w:t>This page gives no legal advice and does not characterise any case. A serious incident is referred on through the school's own arrangements.</w:t>
      </w:r>
    </w:p>
    <w:p>
      <w:r>
        <w:rPr>
          <w:rFonts w:ascii="Quicksand" w:hAnsi="Quicksand" w:cs="Quicksand" w:eastAsia="Noto Sans TC"/>
          <w:b w:val="0"/>
          <w:color w:val="080808"/>
          <w:sz w:val="21"/>
        </w:rPr>
        <w:t>Three things this page deliberately does not contain: no description of any method, generation step or tool operation; no case, personal name, school name or group name; and no wording that blames the person who was targeted.</w:t>
      </w:r>
    </w:p>
    <w:p>
      <w:r>
        <w:rPr>
          <w:rFonts w:ascii="Quicksand" w:hAnsi="Quicksand" w:cs="Quicksand" w:eastAsia="Noto Sans TC"/>
          <w:b/>
          <w:color w:val="080808"/>
          <w:sz w:val="21"/>
        </w:rPr>
        <w:t>Fill in before use: coordinator (post) ____________   colleague who preserves evidence ____________   contact person ____________   date in force ____________</w:t>
      </w:r>
    </w:p>
    <w:p>
      <w:pPr>
        <w:spacing w:before="240" w:after="80"/>
      </w:pPr>
      <w:r>
        <w:rPr>
          <w:rFonts w:ascii="Quicksand" w:hAnsi="Quicksand" w:cs="Quicksand" w:eastAsia="Noto Sans TC"/>
          <w:b/>
          <w:color w:val="080808"/>
          <w:sz w:val="24"/>
        </w:rPr>
        <w:t>The four steps (fixed order: not reordered, skipped or merged)</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1151"/>
            <w:shd w:val="clear" w:fill="E10707"/>
          </w:tcPr>
          <w:p>
            <w:r/>
            <w:r>
              <w:rPr>
                <w:rFonts w:ascii="Quicksand" w:hAnsi="Quicksand" w:cs="Quicksand" w:eastAsia="Noto Sans TC"/>
                <w:b/>
                <w:color w:val="FFFFFF"/>
                <w:sz w:val="20"/>
              </w:rPr>
              <w:t>Step</w:t>
            </w:r>
          </w:p>
        </w:tc>
        <w:tc>
          <w:tcPr>
            <w:tcW w:type="dxa" w:w="4603"/>
            <w:shd w:val="clear" w:fill="E10707"/>
          </w:tcPr>
          <w:p>
            <w:r/>
            <w:r>
              <w:rPr>
                <w:rFonts w:ascii="Quicksand" w:hAnsi="Quicksand" w:cs="Quicksand" w:eastAsia="Noto Sans TC"/>
                <w:b/>
                <w:color w:val="FFFFFF"/>
                <w:sz w:val="20"/>
              </w:rPr>
              <w:t>What is done</w:t>
            </w:r>
          </w:p>
        </w:tc>
        <w:tc>
          <w:tcPr>
            <w:tcW w:type="dxa" w:w="2302"/>
            <w:shd w:val="clear" w:fill="E10707"/>
          </w:tcPr>
          <w:p>
            <w:r/>
            <w:r>
              <w:rPr>
                <w:rFonts w:ascii="Quicksand" w:hAnsi="Quicksand" w:cs="Quicksand" w:eastAsia="Noto Sans TC"/>
                <w:b/>
                <w:color w:val="FFFFFF"/>
                <w:sz w:val="20"/>
              </w:rPr>
              <w:t>Who does it</w:t>
            </w:r>
          </w:p>
        </w:tc>
        <w:tc>
          <w:tcPr>
            <w:tcW w:type="dxa" w:w="1582"/>
            <w:shd w:val="clear" w:fill="E10707"/>
          </w:tcPr>
          <w:p>
            <w:r/>
            <w:r>
              <w:rPr>
                <w:rFonts w:ascii="Quicksand" w:hAnsi="Quicksand" w:cs="Quicksand" w:eastAsia="Noto Sans TC"/>
                <w:b/>
                <w:color w:val="FFFFFF"/>
                <w:sz w:val="20"/>
              </w:rPr>
              <w:t>When</w:t>
            </w:r>
          </w:p>
        </w:tc>
      </w:tr>
      <w:tr>
        <w:tc>
          <w:tcPr>
            <w:tcW w:type="dxa" w:w="1151"/>
          </w:tcPr>
          <w:p>
            <w:r/>
            <w:r>
              <w:rPr>
                <w:rFonts w:ascii="Quicksand" w:hAnsi="Quicksand" w:cs="Quicksand" w:eastAsia="Noto Sans TC"/>
                <w:sz w:val="20"/>
              </w:rPr>
              <w:t>1 · Protect</w:t>
            </w:r>
          </w:p>
        </w:tc>
        <w:tc>
          <w:tcPr>
            <w:tcW w:type="dxa" w:w="4603"/>
          </w:tcPr>
          <w:p>
            <w:r/>
            <w:r>
              <w:rPr>
                <w:rFonts w:ascii="Quicksand" w:hAnsi="Quicksand" w:cs="Quicksand" w:eastAsia="Noto Sans TC"/>
                <w:sz w:val="20"/>
              </w:rPr>
              <w:t>Stop the contact; pass nothing on; do not confront anyone alone. The school provides a safe place and names one contact person, so the affected student knows who to go to and when they will hear from someone again</w:t>
            </w:r>
          </w:p>
        </w:tc>
        <w:tc>
          <w:tcPr>
            <w:tcW w:type="dxa" w:w="2302"/>
          </w:tcPr>
          <w:p>
            <w:r/>
            <w:r>
              <w:rPr>
                <w:rFonts w:ascii="Quicksand" w:hAnsi="Quicksand" w:cs="Quicksand" w:eastAsia="Noto Sans TC"/>
                <w:sz w:val="20"/>
              </w:rPr>
              <w:t>The first colleague on the scene; the class teacher</w:t>
            </w:r>
          </w:p>
        </w:tc>
        <w:tc>
          <w:tcPr>
            <w:tcW w:type="dxa" w:w="1582"/>
          </w:tcPr>
          <w:p>
            <w:r/>
            <w:r>
              <w:rPr>
                <w:rFonts w:ascii="Quicksand" w:hAnsi="Quicksand" w:cs="Quicksand" w:eastAsia="Noto Sans TC"/>
                <w:sz w:val="20"/>
              </w:rPr>
              <w:t>Immediately</w:t>
            </w:r>
          </w:p>
        </w:tc>
      </w:tr>
      <w:tr>
        <w:tc>
          <w:tcPr>
            <w:tcW w:type="dxa" w:w="1151"/>
          </w:tcPr>
          <w:p>
            <w:r/>
            <w:r>
              <w:rPr>
                <w:rFonts w:ascii="Quicksand" w:hAnsi="Quicksand" w:cs="Quicksand" w:eastAsia="Noto Sans TC"/>
                <w:sz w:val="20"/>
              </w:rPr>
              <w:t>2 · Preserve</w:t>
            </w:r>
          </w:p>
        </w:tc>
        <w:tc>
          <w:tcPr>
            <w:tcW w:type="dxa" w:w="4603"/>
          </w:tcPr>
          <w:p>
            <w:r/>
            <w:r>
              <w:rPr>
                <w:rFonts w:ascii="Quicksand" w:hAnsi="Quicksand" w:cs="Quicksand" w:eastAsia="Noto Sans TC"/>
                <w:sz w:val="20"/>
              </w:rPr>
              <w:t>A colleague named by the school preserves the evidence: every screenshot captures the address, the time, the group name and the sender's display name; nothing is deleted or edited; an offline copy is kept</w:t>
            </w:r>
          </w:p>
        </w:tc>
        <w:tc>
          <w:tcPr>
            <w:tcW w:type="dxa" w:w="2302"/>
          </w:tcPr>
          <w:p>
            <w:r/>
            <w:r>
              <w:rPr>
                <w:rFonts w:ascii="Quicksand" w:hAnsi="Quicksand" w:cs="Quicksand" w:eastAsia="Noto Sans TC"/>
                <w:sz w:val="20"/>
              </w:rPr>
              <w:t>One named colleague</w:t>
            </w:r>
          </w:p>
        </w:tc>
        <w:tc>
          <w:tcPr>
            <w:tcW w:type="dxa" w:w="1582"/>
          </w:tcPr>
          <w:p>
            <w:r/>
            <w:r>
              <w:rPr>
                <w:rFonts w:ascii="Quicksand" w:hAnsi="Quicksand" w:cs="Quicksand" w:eastAsia="Noto Sans TC"/>
                <w:sz w:val="20"/>
              </w:rPr>
              <w:t>The same day, as early as possible</w:t>
            </w:r>
          </w:p>
        </w:tc>
      </w:tr>
      <w:tr>
        <w:tc>
          <w:tcPr>
            <w:tcW w:type="dxa" w:w="1151"/>
          </w:tcPr>
          <w:p>
            <w:r/>
            <w:r>
              <w:rPr>
                <w:rFonts w:ascii="Quicksand" w:hAnsi="Quicksand" w:cs="Quicksand" w:eastAsia="Noto Sans TC"/>
                <w:sz w:val="20"/>
              </w:rPr>
              <w:t>3 · Report</w:t>
            </w:r>
          </w:p>
        </w:tc>
        <w:tc>
          <w:tcPr>
            <w:tcW w:type="dxa" w:w="4603"/>
          </w:tcPr>
          <w:p>
            <w:r/>
            <w:r>
              <w:rPr>
                <w:rFonts w:ascii="Quicksand" w:hAnsi="Quicksand" w:cs="Quicksand" w:eastAsia="Noto Sans TC"/>
                <w:sz w:val="20"/>
              </w:rPr>
              <w:t>One line: class teacher → named coordinator → principal; a one-page written record the same day, not a chain of emails</w:t>
            </w:r>
          </w:p>
        </w:tc>
        <w:tc>
          <w:tcPr>
            <w:tcW w:type="dxa" w:w="2302"/>
          </w:tcPr>
          <w:p>
            <w:r/>
            <w:r>
              <w:rPr>
                <w:rFonts w:ascii="Quicksand" w:hAnsi="Quicksand" w:cs="Quicksand" w:eastAsia="Noto Sans TC"/>
                <w:sz w:val="20"/>
              </w:rPr>
              <w:t>The class teacher</w:t>
            </w:r>
          </w:p>
        </w:tc>
        <w:tc>
          <w:tcPr>
            <w:tcW w:type="dxa" w:w="1582"/>
          </w:tcPr>
          <w:p>
            <w:r/>
            <w:r>
              <w:rPr>
                <w:rFonts w:ascii="Quicksand" w:hAnsi="Quicksand" w:cs="Quicksand" w:eastAsia="Noto Sans TC"/>
                <w:sz w:val="20"/>
              </w:rPr>
              <w:t>The same day</w:t>
            </w:r>
          </w:p>
        </w:tc>
      </w:tr>
      <w:tr>
        <w:tc>
          <w:tcPr>
            <w:tcW w:type="dxa" w:w="1151"/>
          </w:tcPr>
          <w:p>
            <w:r/>
            <w:r>
              <w:rPr>
                <w:rFonts w:ascii="Quicksand" w:hAnsi="Quicksand" w:cs="Quicksand" w:eastAsia="Noto Sans TC"/>
                <w:sz w:val="20"/>
              </w:rPr>
              <w:t>4 · Handle and record</w:t>
            </w:r>
          </w:p>
        </w:tc>
        <w:tc>
          <w:tcPr>
            <w:tcW w:type="dxa" w:w="4603"/>
          </w:tcPr>
          <w:p>
            <w:r/>
            <w:r>
              <w:rPr>
                <w:rFonts w:ascii="Quicksand" w:hAnsi="Quicksand" w:cs="Quicksand" w:eastAsia="Noto Sans TC"/>
                <w:sz w:val="20"/>
              </w:rPr>
              <w:t>Handle the case through the school's arrangements; the student who was named receives the same safeguards — notice, an opportunity to respond, their parents informed; the record carries facts, times and actions only</w:t>
            </w:r>
          </w:p>
        </w:tc>
        <w:tc>
          <w:tcPr>
            <w:tcW w:type="dxa" w:w="2302"/>
          </w:tcPr>
          <w:p>
            <w:r/>
            <w:r>
              <w:rPr>
                <w:rFonts w:ascii="Quicksand" w:hAnsi="Quicksand" w:cs="Quicksand" w:eastAsia="Noto Sans TC"/>
                <w:sz w:val="20"/>
              </w:rPr>
              <w:t>The principal and the coordinator, as the school's arrangements divide the work</w:t>
            </w:r>
          </w:p>
        </w:tc>
        <w:tc>
          <w:tcPr>
            <w:tcW w:type="dxa" w:w="1582"/>
          </w:tcPr>
          <w:p>
            <w:r/>
            <w:r>
              <w:rPr>
                <w:rFonts w:ascii="Quicksand" w:hAnsi="Quicksand" w:cs="Quicksand" w:eastAsia="Noto Sans TC"/>
                <w:sz w:val="20"/>
              </w:rPr>
              <w:t>Within the school's own deadlines</w:t>
            </w:r>
          </w:p>
        </w:tc>
      </w:tr>
    </w:tbl>
    <w:p>
      <w:pPr>
        <w:pStyle w:val="ListBullet"/>
      </w:pPr>
      <w:r>
        <w:rPr>
          <w:rFonts w:ascii="Quicksand" w:hAnsi="Quicksand" w:cs="Quicksand" w:eastAsia="Noto Sans TC"/>
          <w:sz w:val="21"/>
        </w:rPr>
        <w:t>Protect is step one. It is not "verify first, then act": verification is carried out by the school, after protection and preservation.</w:t>
      </w:r>
    </w:p>
    <w:p>
      <w:pPr>
        <w:pStyle w:val="ListBullet"/>
      </w:pPr>
      <w:r>
        <w:rPr>
          <w:rFonts w:ascii="Quicksand" w:hAnsi="Quicksand" w:cs="Quicksand" w:eastAsia="Noto Sans TC"/>
          <w:sz w:val="21"/>
        </w:rPr>
        <w:t>"Pass nothing on" is part of protection: every forward makes another copy and another reader.</w:t>
      </w:r>
    </w:p>
    <w:p>
      <w:pPr>
        <w:pStyle w:val="ListBullet"/>
      </w:pPr>
      <w:r>
        <w:rPr>
          <w:rFonts w:ascii="Quicksand" w:hAnsi="Quicksand" w:cs="Quicksand" w:eastAsia="Noto Sans TC"/>
          <w:sz w:val="21"/>
        </w:rPr>
        <w:t>"Do not confront anyone alone": the school sets the time, the place and who is present.</w:t>
      </w:r>
    </w:p>
    <w:p>
      <w:pPr>
        <w:pStyle w:val="ListBullet"/>
      </w:pPr>
      <w:r>
        <w:rPr>
          <w:rFonts w:ascii="Quicksand" w:hAnsi="Quicksand" w:cs="Quicksand" w:eastAsia="Noto Sans TC"/>
          <w:sz w:val="21"/>
        </w:rPr>
        <w:t>All four details are needed, and one named colleague does the preserving so that the format is consistent.</w:t>
      </w:r>
    </w:p>
    <w:p>
      <w:r>
        <w:br w:type="page"/>
      </w:r>
    </w:p>
    <w:p>
      <w:pPr>
        <w:spacing w:before="240" w:after="80"/>
      </w:pPr>
      <w:r>
        <w:rPr>
          <w:rFonts w:ascii="Quicksand" w:hAnsi="Quicksand" w:cs="Quicksand" w:eastAsia="Noto Sans TC"/>
          <w:b/>
          <w:color w:val="E10707"/>
          <w:sz w:val="28"/>
        </w:rPr>
        <w:t>Three situations (routing only)</w:t>
      </w:r>
    </w:p>
    <w:p>
      <w:r>
        <w:rPr>
          <w:rFonts w:ascii="Quicksand" w:hAnsi="Quicksand" w:cs="Quicksand" w:eastAsia="Noto Sans TC"/>
          <w:b w:val="0"/>
          <w:color w:val="080808"/>
          <w:sz w:val="21"/>
        </w:rPr>
        <w:t>The three situations decide only who acts first and which reporting line applies. The order of the four steps does not change with the situation.</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1716"/>
            <w:shd w:val="clear" w:fill="E10707"/>
          </w:tcPr>
          <w:p>
            <w:r/>
            <w:r>
              <w:rPr>
                <w:rFonts w:ascii="Quicksand" w:hAnsi="Quicksand" w:cs="Quicksand" w:eastAsia="Noto Sans TC"/>
                <w:b/>
                <w:color w:val="FFFFFF"/>
                <w:sz w:val="20"/>
              </w:rPr>
              <w:t>Situation</w:t>
            </w:r>
          </w:p>
        </w:tc>
        <w:tc>
          <w:tcPr>
            <w:tcW w:type="dxa" w:w="1716"/>
            <w:shd w:val="clear" w:fill="E10707"/>
          </w:tcPr>
          <w:p>
            <w:r/>
            <w:r>
              <w:rPr>
                <w:rFonts w:ascii="Quicksand" w:hAnsi="Quicksand" w:cs="Quicksand" w:eastAsia="Noto Sans TC"/>
                <w:b/>
                <w:color w:val="FFFFFF"/>
                <w:sz w:val="20"/>
              </w:rPr>
              <w:t>Who acts first</w:t>
            </w:r>
          </w:p>
        </w:tc>
        <w:tc>
          <w:tcPr>
            <w:tcW w:type="dxa" w:w="4225"/>
            <w:shd w:val="clear" w:fill="E10707"/>
          </w:tcPr>
          <w:p>
            <w:r/>
            <w:r>
              <w:rPr>
                <w:rFonts w:ascii="Quicksand" w:hAnsi="Quicksand" w:cs="Quicksand" w:eastAsia="Noto Sans TC"/>
                <w:b/>
                <w:color w:val="FFFFFF"/>
                <w:sz w:val="20"/>
              </w:rPr>
              <w:t>What routing changes</w:t>
            </w:r>
          </w:p>
        </w:tc>
        <w:tc>
          <w:tcPr>
            <w:tcW w:type="dxa" w:w="1980"/>
            <w:shd w:val="clear" w:fill="E10707"/>
          </w:tcPr>
          <w:p>
            <w:r/>
            <w:r>
              <w:rPr>
                <w:rFonts w:ascii="Quicksand" w:hAnsi="Quicksand" w:cs="Quicksand" w:eastAsia="Noto Sans TC"/>
                <w:b/>
                <w:color w:val="FFFFFF"/>
                <w:sz w:val="20"/>
              </w:rPr>
              <w:t>Reporting line</w:t>
            </w:r>
          </w:p>
        </w:tc>
      </w:tr>
      <w:tr>
        <w:tc>
          <w:tcPr>
            <w:tcW w:type="dxa" w:w="1716"/>
          </w:tcPr>
          <w:p>
            <w:r/>
            <w:r>
              <w:rPr>
                <w:rFonts w:ascii="Quicksand" w:hAnsi="Quicksand" w:cs="Quicksand" w:eastAsia="Noto Sans TC"/>
                <w:sz w:val="20"/>
              </w:rPr>
              <w:t>1 · Student to student, one to one</w:t>
            </w:r>
          </w:p>
        </w:tc>
        <w:tc>
          <w:tcPr>
            <w:tcW w:type="dxa" w:w="1716"/>
          </w:tcPr>
          <w:p>
            <w:r/>
            <w:r>
              <w:rPr>
                <w:rFonts w:ascii="Quicksand" w:hAnsi="Quicksand" w:cs="Quicksand" w:eastAsia="Noto Sans TC"/>
                <w:sz w:val="20"/>
              </w:rPr>
              <w:t>The class teacher</w:t>
            </w:r>
          </w:p>
        </w:tc>
        <w:tc>
          <w:tcPr>
            <w:tcW w:type="dxa" w:w="4225"/>
          </w:tcPr>
          <w:p>
            <w:r/>
            <w:r>
              <w:rPr>
                <w:rFonts w:ascii="Quicksand" w:hAnsi="Quicksand" w:cs="Quicksand" w:eastAsia="Noto Sans TC"/>
                <w:sz w:val="20"/>
              </w:rPr>
              <w:t>The class teacher supports the affected student; the coordinator decides whether the two need to be separated at once and when an opportunity to respond is arranged</w:t>
            </w:r>
          </w:p>
        </w:tc>
        <w:tc>
          <w:tcPr>
            <w:tcW w:type="dxa" w:w="1980"/>
          </w:tcPr>
          <w:p>
            <w:r/>
            <w:r>
              <w:rPr>
                <w:rFonts w:ascii="Quicksand" w:hAnsi="Quicksand" w:cs="Quicksand" w:eastAsia="Noto Sans TC"/>
                <w:sz w:val="20"/>
              </w:rPr>
              <w:t>Class teacher → coordinator → principal</w:t>
            </w:r>
          </w:p>
        </w:tc>
      </w:tr>
      <w:tr>
        <w:tc>
          <w:tcPr>
            <w:tcW w:type="dxa" w:w="1716"/>
          </w:tcPr>
          <w:p>
            <w:r/>
            <w:r>
              <w:rPr>
                <w:rFonts w:ascii="Quicksand" w:hAnsi="Quicksand" w:cs="Quicksand" w:eastAsia="Noto Sans TC"/>
                <w:sz w:val="20"/>
              </w:rPr>
              <w:t>2 · Spread through a group (including bystanders)</w:t>
            </w:r>
          </w:p>
        </w:tc>
        <w:tc>
          <w:tcPr>
            <w:tcW w:type="dxa" w:w="1716"/>
          </w:tcPr>
          <w:p>
            <w:r/>
            <w:r>
              <w:rPr>
                <w:rFonts w:ascii="Quicksand" w:hAnsi="Quicksand" w:cs="Quicksand" w:eastAsia="Noto Sans TC"/>
                <w:sz w:val="20"/>
              </w:rPr>
              <w:t>The class teacher, or any colleague who sees it</w:t>
            </w:r>
          </w:p>
        </w:tc>
        <w:tc>
          <w:tcPr>
            <w:tcW w:type="dxa" w:w="4225"/>
          </w:tcPr>
          <w:p>
            <w:r/>
            <w:r>
              <w:rPr>
                <w:rFonts w:ascii="Quicksand" w:hAnsi="Quicksand" w:cs="Quicksand" w:eastAsia="Noto Sans TC"/>
                <w:sz w:val="20"/>
              </w:rPr>
              <w:t>Nothing further is discussed or forwarded in the group; one colleague named by the school preserves the group evidence (the same four details); bystanders are affected too and need one short sentence — "the school is handling it" — with no detail shared in the group</w:t>
            </w:r>
          </w:p>
        </w:tc>
        <w:tc>
          <w:tcPr>
            <w:tcW w:type="dxa" w:w="1980"/>
          </w:tcPr>
          <w:p>
            <w:r/>
            <w:r>
              <w:rPr>
                <w:rFonts w:ascii="Quicksand" w:hAnsi="Quicksand" w:cs="Quicksand" w:eastAsia="Noto Sans TC"/>
                <w:sz w:val="20"/>
              </w:rPr>
              <w:t>Class teacher → coordinator → principal</w:t>
            </w:r>
          </w:p>
        </w:tc>
      </w:tr>
      <w:tr>
        <w:tc>
          <w:tcPr>
            <w:tcW w:type="dxa" w:w="1716"/>
          </w:tcPr>
          <w:p>
            <w:r/>
            <w:r>
              <w:rPr>
                <w:rFonts w:ascii="Quicksand" w:hAnsi="Quicksand" w:cs="Quicksand" w:eastAsia="Noto Sans TC"/>
                <w:sz w:val="20"/>
              </w:rPr>
              <w:t>3 · Involving a staff member (including impersonation)</w:t>
            </w:r>
          </w:p>
        </w:tc>
        <w:tc>
          <w:tcPr>
            <w:tcW w:type="dxa" w:w="1716"/>
          </w:tcPr>
          <w:p>
            <w:r/>
            <w:r>
              <w:rPr>
                <w:rFonts w:ascii="Quicksand" w:hAnsi="Quicksand" w:cs="Quicksand" w:eastAsia="Noto Sans TC"/>
                <w:sz w:val="20"/>
              </w:rPr>
              <w:t>The coordinator</w:t>
            </w:r>
          </w:p>
        </w:tc>
        <w:tc>
          <w:tcPr>
            <w:tcW w:type="dxa" w:w="4225"/>
          </w:tcPr>
          <w:p>
            <w:r/>
            <w:r>
              <w:rPr>
                <w:rFonts w:ascii="Quicksand" w:hAnsi="Quicksand" w:cs="Quicksand" w:eastAsia="Noto Sans TC"/>
                <w:sz w:val="20"/>
              </w:rPr>
              <w:t>The student side continues to be supported by the class teacher and is not paused because a colleague is involved; the staff side and the student side are recorded separately; identity and conduct are written as two separate matters, and no colleague is characterised in front of students</w:t>
            </w:r>
          </w:p>
        </w:tc>
        <w:tc>
          <w:tcPr>
            <w:tcW w:type="dxa" w:w="1980"/>
          </w:tcPr>
          <w:p>
            <w:r/>
            <w:r>
              <w:rPr>
                <w:rFonts w:ascii="Quicksand" w:hAnsi="Quicksand" w:cs="Quicksand" w:eastAsia="Noto Sans TC"/>
                <w:sz w:val="20"/>
              </w:rPr>
              <w:t>Coordinator → principal → human resources</w:t>
            </w:r>
          </w:p>
        </w:tc>
      </w:tr>
    </w:tbl>
    <w:p>
      <w:pPr>
        <w:pStyle w:val="ListBullet"/>
      </w:pPr>
      <w:r>
        <w:rPr>
          <w:rFonts w:ascii="Quicksand" w:hAnsi="Quicksand" w:cs="Quicksand" w:eastAsia="Noto Sans TC"/>
          <w:sz w:val="21"/>
        </w:rPr>
        <w:t>The commonest mistake in situation 2 is replying in the group: even "everyone stop sending this" is another forward.</w:t>
      </w:r>
    </w:p>
    <w:p>
      <w:pPr>
        <w:pStyle w:val="ListBullet"/>
      </w:pPr>
      <w:r>
        <w:rPr>
          <w:rFonts w:ascii="Quicksand" w:hAnsi="Quicksand" w:cs="Quicksand" w:eastAsia="Noto Sans TC"/>
          <w:sz w:val="21"/>
        </w:rPr>
        <w:t>The commonest mistake in situation 3 is "wait until we know more"; the student side continues throughout.</w:t>
      </w:r>
    </w:p>
    <w:p>
      <w:pPr>
        <w:pStyle w:val="ListBullet"/>
      </w:pPr>
      <w:r>
        <w:rPr>
          <w:rFonts w:ascii="Quicksand" w:hAnsi="Quicksand" w:cs="Quicksand" w:eastAsia="Noto Sans TC"/>
          <w:sz w:val="21"/>
        </w:rPr>
        <w:t>In an impersonation case, record only that someone acted in a staff member's name — not who, and not a motive.</w:t>
      </w:r>
    </w:p>
    <w:p>
      <w:r>
        <w:br w:type="page"/>
      </w:r>
    </w:p>
    <w:p>
      <w:pPr>
        <w:spacing w:before="240" w:after="80"/>
      </w:pPr>
      <w:r>
        <w:rPr>
          <w:rFonts w:ascii="Quicksand" w:hAnsi="Quicksand" w:cs="Quicksand" w:eastAsia="Noto Sans TC"/>
          <w:b/>
          <w:color w:val="E10707"/>
          <w:sz w:val="28"/>
        </w:rPr>
        <w:t>The first 24 hours: four cells</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1268"/>
            <w:shd w:val="clear" w:fill="E10707"/>
          </w:tcPr>
          <w:p>
            <w:r/>
            <w:r>
              <w:rPr>
                <w:rFonts w:ascii="Quicksand" w:hAnsi="Quicksand" w:cs="Quicksand" w:eastAsia="Noto Sans TC"/>
                <w:b/>
                <w:color w:val="FFFFFF"/>
                <w:sz w:val="20"/>
              </w:rPr>
              <w:t>Time</w:t>
            </w:r>
          </w:p>
        </w:tc>
        <w:tc>
          <w:tcPr>
            <w:tcW w:type="dxa" w:w="4185"/>
            <w:shd w:val="clear" w:fill="E10707"/>
          </w:tcPr>
          <w:p>
            <w:r/>
            <w:r>
              <w:rPr>
                <w:rFonts w:ascii="Quicksand" w:hAnsi="Quicksand" w:cs="Quicksand" w:eastAsia="Noto Sans TC"/>
                <w:b/>
                <w:color w:val="FFFFFF"/>
                <w:sz w:val="20"/>
              </w:rPr>
              <w:t>What is done</w:t>
            </w:r>
          </w:p>
        </w:tc>
        <w:tc>
          <w:tcPr>
            <w:tcW w:type="dxa" w:w="1902"/>
            <w:shd w:val="clear" w:fill="E10707"/>
          </w:tcPr>
          <w:p>
            <w:r/>
            <w:r>
              <w:rPr>
                <w:rFonts w:ascii="Quicksand" w:hAnsi="Quicksand" w:cs="Quicksand" w:eastAsia="Noto Sans TC"/>
                <w:b/>
                <w:color w:val="FFFFFF"/>
                <w:sz w:val="20"/>
              </w:rPr>
              <w:t>Who</w:t>
            </w:r>
          </w:p>
        </w:tc>
        <w:tc>
          <w:tcPr>
            <w:tcW w:type="dxa" w:w="2283"/>
            <w:shd w:val="clear" w:fill="E10707"/>
          </w:tcPr>
          <w:p>
            <w:r/>
            <w:r>
              <w:rPr>
                <w:rFonts w:ascii="Quicksand" w:hAnsi="Quicksand" w:cs="Quicksand" w:eastAsia="Noto Sans TC"/>
                <w:b/>
                <w:color w:val="FFFFFF"/>
                <w:sz w:val="20"/>
              </w:rPr>
              <w:t>What is left behind</w:t>
            </w:r>
          </w:p>
        </w:tc>
      </w:tr>
      <w:tr>
        <w:tc>
          <w:tcPr>
            <w:tcW w:type="dxa" w:w="1268"/>
          </w:tcPr>
          <w:p>
            <w:r/>
            <w:r>
              <w:rPr>
                <w:rFonts w:ascii="Quicksand" w:hAnsi="Quicksand" w:cs="Quicksand" w:eastAsia="Noto Sans TC"/>
                <w:sz w:val="20"/>
              </w:rPr>
              <w:t>0-2 hours</w:t>
            </w:r>
          </w:p>
        </w:tc>
        <w:tc>
          <w:tcPr>
            <w:tcW w:type="dxa" w:w="4185"/>
          </w:tcPr>
          <w:p>
            <w:r/>
            <w:r>
              <w:rPr>
                <w:rFonts w:ascii="Quicksand" w:hAnsi="Quicksand" w:cs="Quicksand" w:eastAsia="Noto Sans TC"/>
                <w:sz w:val="20"/>
              </w:rPr>
              <w:t>Protect: stop the contact, pass nothing on, confront no one alone, provide a safe place, name one contact person; tell the coordinator and name the colleague who will preserve the evidence</w:t>
            </w:r>
          </w:p>
        </w:tc>
        <w:tc>
          <w:tcPr>
            <w:tcW w:type="dxa" w:w="1902"/>
          </w:tcPr>
          <w:p>
            <w:r/>
            <w:r>
              <w:rPr>
                <w:rFonts w:ascii="Quicksand" w:hAnsi="Quicksand" w:cs="Quicksand" w:eastAsia="Noto Sans TC"/>
                <w:sz w:val="20"/>
              </w:rPr>
              <w:t>The first colleague, the class teacher, the coordinator</w:t>
            </w:r>
          </w:p>
        </w:tc>
        <w:tc>
          <w:tcPr>
            <w:tcW w:type="dxa" w:w="2283"/>
          </w:tcPr>
          <w:p>
            <w:r/>
            <w:r>
              <w:rPr>
                <w:rFonts w:ascii="Quicksand" w:hAnsi="Quicksand" w:cs="Quicksand" w:eastAsia="Noto Sans TC"/>
                <w:sz w:val="20"/>
              </w:rPr>
              <w:t>A spoken handover — who owns which step — with no form needed</w:t>
            </w:r>
          </w:p>
        </w:tc>
      </w:tr>
      <w:tr>
        <w:tc>
          <w:tcPr>
            <w:tcW w:type="dxa" w:w="1268"/>
          </w:tcPr>
          <w:p>
            <w:r/>
            <w:r>
              <w:rPr>
                <w:rFonts w:ascii="Quicksand" w:hAnsi="Quicksand" w:cs="Quicksand" w:eastAsia="Noto Sans TC"/>
                <w:sz w:val="20"/>
              </w:rPr>
              <w:t>2-24 hours</w:t>
            </w:r>
          </w:p>
        </w:tc>
        <w:tc>
          <w:tcPr>
            <w:tcW w:type="dxa" w:w="4185"/>
          </w:tcPr>
          <w:p>
            <w:r/>
            <w:r>
              <w:rPr>
                <w:rFonts w:ascii="Quicksand" w:hAnsi="Quicksand" w:cs="Quicksand" w:eastAsia="Noto Sans TC"/>
                <w:sz w:val="20"/>
              </w:rPr>
              <w:t>Capture the four details and keep an offline copy; the coordinator and principal confirm the routing; a one-page written record is completed the same day; parents on both sides are informed through the school's arrangements</w:t>
            </w:r>
          </w:p>
        </w:tc>
        <w:tc>
          <w:tcPr>
            <w:tcW w:type="dxa" w:w="1902"/>
          </w:tcPr>
          <w:p>
            <w:r/>
            <w:r>
              <w:rPr>
                <w:rFonts w:ascii="Quicksand" w:hAnsi="Quicksand" w:cs="Quicksand" w:eastAsia="Noto Sans TC"/>
                <w:sz w:val="20"/>
              </w:rPr>
              <w:t>The named colleague, the class teacher, the coordinator</w:t>
            </w:r>
          </w:p>
        </w:tc>
        <w:tc>
          <w:tcPr>
            <w:tcW w:type="dxa" w:w="2283"/>
          </w:tcPr>
          <w:p>
            <w:r/>
            <w:r>
              <w:rPr>
                <w:rFonts w:ascii="Quicksand" w:hAnsi="Quicksand" w:cs="Quicksand" w:eastAsia="Noto Sans TC"/>
                <w:sz w:val="20"/>
              </w:rPr>
              <w:t>A one-page written record with times, actions and owners</w:t>
            </w:r>
          </w:p>
        </w:tc>
      </w:tr>
      <w:tr>
        <w:tc>
          <w:tcPr>
            <w:tcW w:type="dxa" w:w="1268"/>
          </w:tcPr>
          <w:p>
            <w:r/>
            <w:r>
              <w:rPr>
                <w:rFonts w:ascii="Quicksand" w:hAnsi="Quicksand" w:cs="Quicksand" w:eastAsia="Noto Sans TC"/>
                <w:sz w:val="20"/>
              </w:rPr>
              <w:t>The next day</w:t>
            </w:r>
          </w:p>
        </w:tc>
        <w:tc>
          <w:tcPr>
            <w:tcW w:type="dxa" w:w="4185"/>
          </w:tcPr>
          <w:p>
            <w:r/>
            <w:r>
              <w:rPr>
                <w:rFonts w:ascii="Quicksand" w:hAnsi="Quicksand" w:cs="Quicksand" w:eastAsia="Noto Sans TC"/>
                <w:sz w:val="20"/>
              </w:rPr>
              <w:t>Arrange the opportunity to respond and the support the school's arrangements provide; tell the affected student what happens next and when they will hear again; check that the record carries facts, times and actions only</w:t>
            </w:r>
          </w:p>
        </w:tc>
        <w:tc>
          <w:tcPr>
            <w:tcW w:type="dxa" w:w="1902"/>
          </w:tcPr>
          <w:p>
            <w:r/>
            <w:r>
              <w:rPr>
                <w:rFonts w:ascii="Quicksand" w:hAnsi="Quicksand" w:cs="Quicksand" w:eastAsia="Noto Sans TC"/>
                <w:sz w:val="20"/>
              </w:rPr>
              <w:t>The class teacher, the coordinator</w:t>
            </w:r>
          </w:p>
        </w:tc>
        <w:tc>
          <w:tcPr>
            <w:tcW w:type="dxa" w:w="2283"/>
          </w:tcPr>
          <w:p>
            <w:r/>
            <w:r>
              <w:rPr>
                <w:rFonts w:ascii="Quicksand" w:hAnsi="Quicksand" w:cs="Quicksand" w:eastAsia="Noto Sans TC"/>
                <w:sz w:val="20"/>
              </w:rPr>
              <w:t>One added page noting what was communicated and what was arranged</w:t>
            </w:r>
          </w:p>
        </w:tc>
      </w:tr>
      <w:tr>
        <w:tc>
          <w:tcPr>
            <w:tcW w:type="dxa" w:w="1268"/>
          </w:tcPr>
          <w:p>
            <w:r/>
            <w:r>
              <w:rPr>
                <w:rFonts w:ascii="Quicksand" w:hAnsi="Quicksand" w:cs="Quicksand" w:eastAsia="Noto Sans TC"/>
                <w:sz w:val="20"/>
              </w:rPr>
              <w:t>Within a week</w:t>
            </w:r>
          </w:p>
        </w:tc>
        <w:tc>
          <w:tcPr>
            <w:tcW w:type="dxa" w:w="4185"/>
          </w:tcPr>
          <w:p>
            <w:r/>
            <w:r>
              <w:rPr>
                <w:rFonts w:ascii="Quicksand" w:hAnsi="Quicksand" w:cs="Quicksand" w:eastAsia="Noto Sans TC"/>
                <w:sz w:val="20"/>
              </w:rPr>
              <w:t>Review once: has the contact stopped, has the material in the group been dealt with, is the record complete, does anything need referring on; write whatever needs changing back into the school's procedure</w:t>
            </w:r>
          </w:p>
        </w:tc>
        <w:tc>
          <w:tcPr>
            <w:tcW w:type="dxa" w:w="1902"/>
          </w:tcPr>
          <w:p>
            <w:r/>
            <w:r>
              <w:rPr>
                <w:rFonts w:ascii="Quicksand" w:hAnsi="Quicksand" w:cs="Quicksand" w:eastAsia="Noto Sans TC"/>
                <w:sz w:val="20"/>
              </w:rPr>
              <w:t>The principal and the coordinator</w:t>
            </w:r>
          </w:p>
        </w:tc>
        <w:tc>
          <w:tcPr>
            <w:tcW w:type="dxa" w:w="2283"/>
          </w:tcPr>
          <w:p>
            <w:r/>
            <w:r>
              <w:rPr>
                <w:rFonts w:ascii="Quicksand" w:hAnsi="Quicksand" w:cs="Quicksand" w:eastAsia="Noto Sans TC"/>
                <w:sz w:val="20"/>
              </w:rPr>
              <w:t>A one-page review note with one line on what needs to change</w:t>
            </w:r>
          </w:p>
        </w:tc>
      </w:tr>
    </w:tbl>
    <w:p>
      <w:pPr>
        <w:pStyle w:val="ListBullet"/>
      </w:pPr>
      <w:r>
        <w:rPr>
          <w:rFonts w:ascii="Quicksand" w:hAnsi="Quicksand" w:cs="Quicksand" w:eastAsia="Noto Sans TC"/>
          <w:sz w:val="21"/>
        </w:rPr>
        <w:t>The "next day" cell is the one most often dropped: what the affected student wants to know is whether anyone is still on it.</w:t>
      </w:r>
    </w:p>
    <w:p>
      <w:pPr>
        <w:pStyle w:val="ListBullet"/>
      </w:pPr>
      <w:r>
        <w:rPr>
          <w:rFonts w:ascii="Quicksand" w:hAnsi="Quicksand" w:cs="Quicksand" w:eastAsia="Noto Sans TC"/>
          <w:sz w:val="21"/>
        </w:rPr>
        <w:t>The timeline gives the latest time, not the ideal time. Completing step one within two hours is enough.</w:t>
      </w:r>
    </w:p>
    <w:p>
      <w:r>
        <w:br w:type="page"/>
      </w:r>
    </w:p>
    <w:p>
      <w:pPr>
        <w:spacing w:before="240" w:after="80"/>
      </w:pPr>
      <w:r>
        <w:rPr>
          <w:rFonts w:ascii="Quicksand" w:hAnsi="Quicksand" w:cs="Quicksand" w:eastAsia="Noto Sans TC"/>
          <w:b/>
          <w:color w:val="E10707"/>
          <w:sz w:val="28"/>
        </w:rPr>
        <w:t>Record form (facts, times and actions only)</w:t>
      </w:r>
    </w:p>
    <w:tbl>
      <w:tblPr>
        <w:tblStyle w:val="TableGrid"/>
        <w:tblW w:type="auto" w:w="0"/>
        <w:jc w:val="left"/>
        <w:tblLook w:firstColumn="1" w:firstRow="1" w:lastColumn="0" w:lastRow="0" w:noHBand="0" w:noVBand="1" w:val="04A0"/>
      </w:tblPr>
      <w:tblGrid>
        <w:gridCol w:w="4819"/>
        <w:gridCol w:w="4819"/>
      </w:tblGrid>
      <w:tr>
        <w:tc>
          <w:tcPr>
            <w:tcW w:type="dxa" w:w="3580"/>
            <w:shd w:val="clear" w:fill="E10707"/>
          </w:tcPr>
          <w:p>
            <w:r/>
            <w:r>
              <w:rPr>
                <w:rFonts w:ascii="Quicksand" w:hAnsi="Quicksand" w:cs="Quicksand" w:eastAsia="Noto Sans TC"/>
                <w:b/>
                <w:color w:val="FFFFFF"/>
                <w:sz w:val="20"/>
              </w:rPr>
              <w:t>Field</w:t>
            </w:r>
          </w:p>
        </w:tc>
        <w:tc>
          <w:tcPr>
            <w:tcW w:type="dxa" w:w="6058"/>
            <w:shd w:val="clear" w:fill="E10707"/>
          </w:tcPr>
          <w:p>
            <w:r/>
            <w:r>
              <w:rPr>
                <w:rFonts w:ascii="Quicksand" w:hAnsi="Quicksand" w:cs="Quicksand" w:eastAsia="Noto Sans TC"/>
                <w:b/>
                <w:color w:val="FFFFFF"/>
                <w:sz w:val="20"/>
              </w:rPr>
              <w:t>Detail</w:t>
            </w:r>
          </w:p>
        </w:tc>
      </w:tr>
      <w:tr>
        <w:tc>
          <w:tcPr>
            <w:tcW w:type="dxa" w:w="3580"/>
          </w:tcPr>
          <w:p>
            <w:r/>
            <w:r>
              <w:rPr>
                <w:rFonts w:ascii="Quicksand" w:hAnsi="Quicksand" w:cs="Quicksand" w:eastAsia="Noto Sans TC"/>
                <w:sz w:val="20"/>
              </w:rPr>
              <w:t>Case reference (school's own)</w:t>
            </w:r>
          </w:p>
        </w:tc>
        <w:tc>
          <w:tcPr>
            <w:tcW w:type="dxa" w:w="6058"/>
          </w:tcPr>
          <w:p>
            <w:r/>
            <w:r>
              <w:rPr>
                <w:rFonts w:ascii="Quicksand" w:hAnsi="Quicksand" w:cs="Quicksand" w:eastAsia="Noto Sans TC"/>
                <w:sz w:val="20"/>
              </w:rPr>
            </w:r>
          </w:p>
        </w:tc>
      </w:tr>
      <w:tr>
        <w:tc>
          <w:tcPr>
            <w:tcW w:type="dxa" w:w="3580"/>
          </w:tcPr>
          <w:p>
            <w:r/>
            <w:r>
              <w:rPr>
                <w:rFonts w:ascii="Quicksand" w:hAnsi="Quicksand" w:cs="Quicksand" w:eastAsia="Noto Sans TC"/>
                <w:sz w:val="20"/>
              </w:rPr>
              <w:t>Date and time opened</w:t>
            </w:r>
          </w:p>
        </w:tc>
        <w:tc>
          <w:tcPr>
            <w:tcW w:type="dxa" w:w="6058"/>
          </w:tcPr>
          <w:p>
            <w:r/>
            <w:r>
              <w:rPr>
                <w:rFonts w:ascii="Quicksand" w:hAnsi="Quicksand" w:cs="Quicksand" w:eastAsia="Noto Sans TC"/>
                <w:sz w:val="20"/>
              </w:rPr>
            </w:r>
          </w:p>
        </w:tc>
      </w:tr>
      <w:tr>
        <w:tc>
          <w:tcPr>
            <w:tcW w:type="dxa" w:w="3580"/>
          </w:tcPr>
          <w:p>
            <w:r/>
            <w:r>
              <w:rPr>
                <w:rFonts w:ascii="Quicksand" w:hAnsi="Quicksand" w:cs="Quicksand" w:eastAsia="Noto Sans TC"/>
                <w:sz w:val="20"/>
              </w:rPr>
              <w:t>Coordinator</w:t>
            </w:r>
          </w:p>
        </w:tc>
        <w:tc>
          <w:tcPr>
            <w:tcW w:type="dxa" w:w="6058"/>
          </w:tcPr>
          <w:p>
            <w:r/>
            <w:r>
              <w:rPr>
                <w:rFonts w:ascii="Quicksand" w:hAnsi="Quicksand" w:cs="Quicksand" w:eastAsia="Noto Sans TC"/>
                <w:sz w:val="20"/>
              </w:rPr>
            </w:r>
          </w:p>
        </w:tc>
      </w:tr>
      <w:tr>
        <w:tc>
          <w:tcPr>
            <w:tcW w:type="dxa" w:w="3580"/>
          </w:tcPr>
          <w:p>
            <w:r/>
            <w:r>
              <w:rPr>
                <w:rFonts w:ascii="Quicksand" w:hAnsi="Quicksand" w:cs="Quicksand" w:eastAsia="Noto Sans TC"/>
                <w:sz w:val="20"/>
              </w:rPr>
              <w:t>Colleague who preserves evidence</w:t>
            </w:r>
          </w:p>
        </w:tc>
        <w:tc>
          <w:tcPr>
            <w:tcW w:type="dxa" w:w="6058"/>
          </w:tcPr>
          <w:p>
            <w:r/>
            <w:r>
              <w:rPr>
                <w:rFonts w:ascii="Quicksand" w:hAnsi="Quicksand" w:cs="Quicksand" w:eastAsia="Noto Sans TC"/>
                <w:sz w:val="20"/>
              </w:rPr>
            </w:r>
          </w:p>
        </w:tc>
      </w:tr>
      <w:tr>
        <w:tc>
          <w:tcPr>
            <w:tcW w:type="dxa" w:w="3580"/>
          </w:tcPr>
          <w:p>
            <w:r/>
            <w:r>
              <w:rPr>
                <w:rFonts w:ascii="Quicksand" w:hAnsi="Quicksand" w:cs="Quicksand" w:eastAsia="Noto Sans TC"/>
                <w:sz w:val="20"/>
              </w:rPr>
              <w:t>Contact person (the one who told the affected student)</w:t>
            </w:r>
          </w:p>
        </w:tc>
        <w:tc>
          <w:tcPr>
            <w:tcW w:type="dxa" w:w="6058"/>
          </w:tcPr>
          <w:p>
            <w:r/>
            <w:r>
              <w:rPr>
                <w:rFonts w:ascii="Quicksand" w:hAnsi="Quicksand" w:cs="Quicksand" w:eastAsia="Noto Sans TC"/>
                <w:sz w:val="20"/>
              </w:rPr>
            </w:r>
          </w:p>
        </w:tc>
      </w:tr>
    </w:tbl>
    <w:tbl>
      <w:tblPr>
        <w:tblStyle w:val="TableGrid"/>
        <w:tblW w:type="auto" w:w="0"/>
        <w:jc w:val="left"/>
        <w:tblLook w:firstColumn="1" w:firstRow="1" w:lastColumn="0" w:lastRow="0" w:noHBand="0" w:noVBand="1" w:val="04A0"/>
      </w:tblPr>
      <w:tblGrid>
        <w:gridCol w:w="1928"/>
        <w:gridCol w:w="1928"/>
        <w:gridCol w:w="1928"/>
        <w:gridCol w:w="1928"/>
        <w:gridCol w:w="1928"/>
      </w:tblGrid>
      <w:tr>
        <w:tc>
          <w:tcPr>
            <w:tcW w:type="dxa" w:w="476"/>
            <w:shd w:val="clear" w:fill="E10707"/>
          </w:tcPr>
          <w:p>
            <w:r/>
            <w:r>
              <w:rPr>
                <w:rFonts w:ascii="Quicksand" w:hAnsi="Quicksand" w:cs="Quicksand" w:eastAsia="Noto Sans TC"/>
                <w:b/>
                <w:color w:val="FFFFFF"/>
                <w:sz w:val="20"/>
              </w:rPr>
              <w:t>No.</w:t>
            </w:r>
          </w:p>
        </w:tc>
        <w:tc>
          <w:tcPr>
            <w:tcW w:type="dxa" w:w="1547"/>
            <w:shd w:val="clear" w:fill="E10707"/>
          </w:tcPr>
          <w:p>
            <w:r/>
            <w:r>
              <w:rPr>
                <w:rFonts w:ascii="Quicksand" w:hAnsi="Quicksand" w:cs="Quicksand" w:eastAsia="Noto Sans TC"/>
                <w:b/>
                <w:color w:val="FFFFFF"/>
                <w:sz w:val="20"/>
              </w:rPr>
              <w:t>Date and time</w:t>
            </w:r>
          </w:p>
        </w:tc>
        <w:tc>
          <w:tcPr>
            <w:tcW w:type="dxa" w:w="3213"/>
            <w:shd w:val="clear" w:fill="E10707"/>
          </w:tcPr>
          <w:p>
            <w:r/>
            <w:r>
              <w:rPr>
                <w:rFonts w:ascii="Quicksand" w:hAnsi="Quicksand" w:cs="Quicksand" w:eastAsia="Noto Sans TC"/>
                <w:b/>
                <w:color w:val="FFFFFF"/>
                <w:sz w:val="20"/>
              </w:rPr>
              <w:t>Facts (what was seen or heard)</w:t>
            </w:r>
          </w:p>
        </w:tc>
        <w:tc>
          <w:tcPr>
            <w:tcW w:type="dxa" w:w="2975"/>
            <w:shd w:val="clear" w:fill="E10707"/>
          </w:tcPr>
          <w:p>
            <w:r/>
            <w:r>
              <w:rPr>
                <w:rFonts w:ascii="Quicksand" w:hAnsi="Quicksand" w:cs="Quicksand" w:eastAsia="Noto Sans TC"/>
                <w:b/>
                <w:color w:val="FFFFFF"/>
                <w:sz w:val="20"/>
              </w:rPr>
              <w:t>Action (what was done, and by whom)</w:t>
            </w:r>
          </w:p>
        </w:tc>
        <w:tc>
          <w:tcPr>
            <w:tcW w:type="dxa" w:w="1428"/>
            <w:shd w:val="clear" w:fill="E10707"/>
          </w:tcPr>
          <w:p>
            <w:r/>
            <w:r>
              <w:rPr>
                <w:rFonts w:ascii="Quicksand" w:hAnsi="Quicksand" w:cs="Quicksand" w:eastAsia="Noto Sans TC"/>
                <w:b/>
                <w:color w:val="FFFFFF"/>
                <w:sz w:val="20"/>
              </w:rPr>
              <w:t>Owner</w:t>
            </w:r>
          </w:p>
        </w:tc>
      </w:tr>
      <w:tr>
        <w:tc>
          <w:tcPr>
            <w:tcW w:type="dxa" w:w="476"/>
          </w:tcPr>
          <w:p>
            <w:r/>
            <w:r>
              <w:rPr>
                <w:rFonts w:ascii="Quicksand" w:hAnsi="Quicksand" w:cs="Quicksand" w:eastAsia="Noto Sans TC"/>
                <w:sz w:val="20"/>
              </w:rPr>
              <w:t>1</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2</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3</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4</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5</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6</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7</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8</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9</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10</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11</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r>
        <w:tc>
          <w:tcPr>
            <w:tcW w:type="dxa" w:w="476"/>
          </w:tcPr>
          <w:p>
            <w:r/>
            <w:r>
              <w:rPr>
                <w:rFonts w:ascii="Quicksand" w:hAnsi="Quicksand" w:cs="Quicksand" w:eastAsia="Noto Sans TC"/>
                <w:sz w:val="20"/>
              </w:rPr>
              <w:t>12</w:t>
            </w:r>
          </w:p>
        </w:tc>
        <w:tc>
          <w:tcPr>
            <w:tcW w:type="dxa" w:w="1547"/>
          </w:tcPr>
          <w:p>
            <w:r/>
            <w:r>
              <w:rPr>
                <w:rFonts w:ascii="Quicksand" w:hAnsi="Quicksand" w:cs="Quicksand" w:eastAsia="Noto Sans TC"/>
                <w:sz w:val="20"/>
              </w:rPr>
            </w:r>
          </w:p>
        </w:tc>
        <w:tc>
          <w:tcPr>
            <w:tcW w:type="dxa" w:w="3213"/>
          </w:tcPr>
          <w:p>
            <w:r/>
            <w:r>
              <w:rPr>
                <w:rFonts w:ascii="Quicksand" w:hAnsi="Quicksand" w:cs="Quicksand" w:eastAsia="Noto Sans TC"/>
                <w:sz w:val="20"/>
              </w:rPr>
            </w:r>
          </w:p>
        </w:tc>
        <w:tc>
          <w:tcPr>
            <w:tcW w:type="dxa" w:w="2975"/>
          </w:tcPr>
          <w:p>
            <w:r/>
            <w:r>
              <w:rPr>
                <w:rFonts w:ascii="Quicksand" w:hAnsi="Quicksand" w:cs="Quicksand" w:eastAsia="Noto Sans TC"/>
                <w:sz w:val="20"/>
              </w:rPr>
            </w:r>
          </w:p>
        </w:tc>
        <w:tc>
          <w:tcPr>
            <w:tcW w:type="dxa" w:w="1428"/>
          </w:tcPr>
          <w:p>
            <w:r/>
            <w:r>
              <w:rPr>
                <w:rFonts w:ascii="Quicksand" w:hAnsi="Quicksand" w:cs="Quicksand" w:eastAsia="Noto Sans TC"/>
                <w:sz w:val="20"/>
              </w:rPr>
            </w:r>
          </w:p>
        </w:tc>
      </w:tr>
    </w:tbl>
    <w:p>
      <w:r>
        <w:rPr>
          <w:rFonts w:ascii="Quicksand" w:hAnsi="Quicksand" w:cs="Quicksand" w:eastAsia="Noto Sans TC"/>
          <w:b/>
          <w:color w:val="080808"/>
          <w:sz w:val="21"/>
        </w:rPr>
        <w:t>Three sentences that must not go into the record:</w:t>
      </w:r>
    </w:p>
    <w:p>
      <w:pPr>
        <w:pStyle w:val="ListBullet"/>
      </w:pPr>
      <w:r>
        <w:rPr>
          <w:rFonts w:ascii="Quicksand" w:hAnsi="Quicksand" w:cs="Quicksand" w:eastAsia="Noto Sans TC"/>
          <w:sz w:val="21"/>
        </w:rPr>
        <w:t>"This is what they are always like" — a past impression written into the facts of the day.</w:t>
      </w:r>
    </w:p>
    <w:p>
      <w:pPr>
        <w:pStyle w:val="ListBullet"/>
      </w:pPr>
      <w:r>
        <w:rPr>
          <w:rFonts w:ascii="Quicksand" w:hAnsi="Quicksand" w:cs="Quicksand" w:eastAsia="Noto Sans TC"/>
          <w:sz w:val="21"/>
        </w:rPr>
        <w:t>"It is probably a misunderstanding" — characterising the case before anyone has had the chance to respond.</w:t>
      </w:r>
    </w:p>
    <w:p>
      <w:pPr>
        <w:pStyle w:val="ListBullet"/>
      </w:pPr>
      <w:r>
        <w:rPr>
          <w:rFonts w:ascii="Quicksand" w:hAnsi="Quicksand" w:cs="Quicksand" w:eastAsia="Noto Sans TC"/>
          <w:sz w:val="21"/>
        </w:rPr>
        <w:t>"Dealt with" — a conclusion with no action behind it is not a record.</w:t>
      </w:r>
    </w:p>
    <w:p>
      <w:r>
        <w:rPr>
          <w:rFonts w:ascii="Quicksand" w:hAnsi="Quicksand" w:cs="Quicksand" w:eastAsia="Noto Sans TC"/>
          <w:b w:val="0"/>
          <w:color w:val="080808"/>
          <w:sz w:val="21"/>
        </w:rPr>
        <w:t>The student who was named receives the same three safeguards: notice, an opportunity to respond, and their parents informed. The record characterises neither side.</w:t>
      </w:r>
    </w:p>
    <w:p>
      <w:r>
        <w:br w:type="page"/>
      </w:r>
    </w:p>
    <w:p>
      <w:pPr>
        <w:spacing w:before="240" w:after="80"/>
      </w:pPr>
      <w:r>
        <w:rPr>
          <w:rFonts w:ascii="Quicksand" w:hAnsi="Quicksand" w:cs="Quicksand" w:eastAsia="Noto Sans TC"/>
          <w:b/>
          <w:color w:val="E10707"/>
          <w:sz w:val="28"/>
        </w:rPr>
        <w:t>Review checklist</w:t>
      </w:r>
    </w:p>
    <w:p>
      <w:pPr>
        <w:pStyle w:val="ListBullet"/>
      </w:pPr>
      <w:r>
        <w:rPr>
          <w:rFonts w:ascii="Quicksand" w:hAnsi="Quicksand" w:cs="Quicksand" w:eastAsia="Noto Sans TC"/>
          <w:sz w:val="21"/>
        </w:rPr>
        <w:t>□ All four steps, in the order protect, preserve, report, handle and record — not reordered, skipped or merged.</w:t>
      </w:r>
    </w:p>
    <w:p>
      <w:pPr>
        <w:pStyle w:val="ListBullet"/>
      </w:pPr>
      <w:r>
        <w:rPr>
          <w:rFonts w:ascii="Quicksand" w:hAnsi="Quicksand" w:cs="Quicksand" w:eastAsia="Noto Sans TC"/>
          <w:sz w:val="21"/>
        </w:rPr>
        <w:t>□ No sentence reads "verify first, then deal with it".</w:t>
      </w:r>
    </w:p>
    <w:p>
      <w:pPr>
        <w:pStyle w:val="ListBullet"/>
      </w:pPr>
      <w:r>
        <w:rPr>
          <w:rFonts w:ascii="Quicksand" w:hAnsi="Quicksand" w:cs="Quicksand" w:eastAsia="Noto Sans TC"/>
          <w:sz w:val="21"/>
        </w:rPr>
        <w:t>□ Step 1 names all five: stop the contact, pass nothing on, confront no one alone, a safe place, one contact person.</w:t>
      </w:r>
    </w:p>
    <w:p>
      <w:pPr>
        <w:pStyle w:val="ListBullet"/>
      </w:pPr>
      <w:r>
        <w:rPr>
          <w:rFonts w:ascii="Quicksand" w:hAnsi="Quicksand" w:cs="Quicksand" w:eastAsia="Noto Sans TC"/>
          <w:sz w:val="21"/>
        </w:rPr>
        <w:t>□ Step 2 names all four screenshot details: address, time, group name, sender's display name.</w:t>
      </w:r>
    </w:p>
    <w:p>
      <w:pPr>
        <w:pStyle w:val="ListBullet"/>
      </w:pPr>
      <w:r>
        <w:rPr>
          <w:rFonts w:ascii="Quicksand" w:hAnsi="Quicksand" w:cs="Quicksand" w:eastAsia="Noto Sans TC"/>
          <w:sz w:val="21"/>
        </w:rPr>
        <w:t>□ Step 2 states nothing deleted or edited, an offline copy kept, and one named colleague responsible.</w:t>
      </w:r>
    </w:p>
    <w:p>
      <w:pPr>
        <w:pStyle w:val="ListBullet"/>
      </w:pPr>
      <w:r>
        <w:rPr>
          <w:rFonts w:ascii="Quicksand" w:hAnsi="Quicksand" w:cs="Quicksand" w:eastAsia="Noto Sans TC"/>
          <w:sz w:val="21"/>
        </w:rPr>
        <w:t>□ Step 3 has a single reporting line, with a one-page record the same day and no email chain.</w:t>
      </w:r>
    </w:p>
    <w:p>
      <w:pPr>
        <w:pStyle w:val="ListBullet"/>
      </w:pPr>
      <w:r>
        <w:rPr>
          <w:rFonts w:ascii="Quicksand" w:hAnsi="Quicksand" w:cs="Quicksand" w:eastAsia="Noto Sans TC"/>
          <w:sz w:val="21"/>
        </w:rPr>
        <w:t>□ Situation 3 uses coordinator, principal, human resources, and the student side continues with the class teacher.</w:t>
      </w:r>
    </w:p>
    <w:p>
      <w:pPr>
        <w:pStyle w:val="ListBullet"/>
      </w:pPr>
      <w:r>
        <w:rPr>
          <w:rFonts w:ascii="Quicksand" w:hAnsi="Quicksand" w:cs="Quicksand" w:eastAsia="Noto Sans TC"/>
          <w:sz w:val="21"/>
        </w:rPr>
        <w:t>□ The three situations change routing only; the order of the four steps is untouched.</w:t>
      </w:r>
    </w:p>
    <w:p>
      <w:pPr>
        <w:pStyle w:val="ListBullet"/>
      </w:pPr>
      <w:r>
        <w:rPr>
          <w:rFonts w:ascii="Quicksand" w:hAnsi="Quicksand" w:cs="Quicksand" w:eastAsia="Noto Sans TC"/>
          <w:sz w:val="21"/>
        </w:rPr>
        <w:t>□ Step 4 names the three safeguards for the student who was named.</w:t>
      </w:r>
    </w:p>
    <w:p>
      <w:pPr>
        <w:pStyle w:val="ListBullet"/>
      </w:pPr>
      <w:r>
        <w:rPr>
          <w:rFonts w:ascii="Quicksand" w:hAnsi="Quicksand" w:cs="Quicksand" w:eastAsia="Noto Sans TC"/>
          <w:sz w:val="21"/>
        </w:rPr>
        <w:t>□ The record carries facts, times and actions only — no evaluation, speculation or character description.</w:t>
      </w:r>
    </w:p>
    <w:p>
      <w:pPr>
        <w:pStyle w:val="ListBullet"/>
      </w:pPr>
      <w:r>
        <w:rPr>
          <w:rFonts w:ascii="Quicksand" w:hAnsi="Quicksand" w:cs="Quicksand" w:eastAsia="Noto Sans TC"/>
          <w:sz w:val="21"/>
        </w:rPr>
        <w:t>□ The timeline has four cells and no fifth.</w:t>
      </w:r>
    </w:p>
    <w:p>
      <w:pPr>
        <w:pStyle w:val="ListBullet"/>
      </w:pPr>
      <w:r>
        <w:rPr>
          <w:rFonts w:ascii="Quicksand" w:hAnsi="Quicksand" w:cs="Quicksand" w:eastAsia="Noto Sans TC"/>
          <w:sz w:val="21"/>
        </w:rPr>
        <w:t>□ Nothing describes a method, a generation step or a tool operation.</w:t>
      </w:r>
    </w:p>
    <w:p>
      <w:pPr>
        <w:pStyle w:val="ListBullet"/>
      </w:pPr>
      <w:r>
        <w:rPr>
          <w:rFonts w:ascii="Quicksand" w:hAnsi="Quicksand" w:cs="Quicksand" w:eastAsia="Noto Sans TC"/>
          <w:sz w:val="21"/>
        </w:rPr>
        <w:t>□ No case, personal name, school name or group name, and no commercial tool or brand.</w:t>
      </w:r>
    </w:p>
    <w:p>
      <w:pPr>
        <w:pStyle w:val="ListBullet"/>
      </w:pPr>
      <w:r>
        <w:rPr>
          <w:rFonts w:ascii="Quicksand" w:hAnsi="Quicksand" w:cs="Quicksand" w:eastAsia="Noto Sans TC"/>
          <w:sz w:val="21"/>
        </w:rPr>
        <w:t>□ No line blames the person who was targeted, and the student who was named is not characterised either.</w:t>
      </w:r>
    </w:p>
    <w:p>
      <w:pPr>
        <w:pStyle w:val="ListBullet"/>
      </w:pPr>
      <w:r>
        <w:rPr>
          <w:rFonts w:ascii="Quicksand" w:hAnsi="Quicksand" w:cs="Quicksand" w:eastAsia="Noto Sans TC"/>
          <w:sz w:val="21"/>
        </w:rPr>
        <w:t>□ The page states the Bureau's requirements and that the four steps are this resource's suggestion.</w:t>
      </w:r>
    </w:p>
    <w:p>
      <w:pPr>
        <w:pStyle w:val="ListBullet"/>
      </w:pPr>
      <w:r>
        <w:rPr>
          <w:rFonts w:ascii="Quicksand" w:hAnsi="Quicksand" w:cs="Quicksand" w:eastAsia="Noto Sans TC"/>
          <w:sz w:val="21"/>
        </w:rPr>
        <w:t>□ The page states that it does not replace the school's anti-bullying, complaints or personnel procedures.</w:t>
      </w:r>
    </w:p>
    <w:p>
      <w:pPr>
        <w:pStyle w:val="ListBullet"/>
      </w:pPr>
      <w:r>
        <w:rPr>
          <w:rFonts w:ascii="Quicksand" w:hAnsi="Quicksand" w:cs="Quicksand" w:eastAsia="Noto Sans TC"/>
          <w:sz w:val="21"/>
        </w:rPr>
        <w:t>□ The page states that it gives no legal advice and does not characterise a case.</w:t>
      </w:r>
    </w:p>
    <w:p>
      <w:r>
        <w:rPr>
          <w:rFonts w:ascii="Quicksand" w:hAnsi="Quicksand" w:cs="Quicksand" w:eastAsia="Noto Sans TC"/>
          <w:b w:val="0"/>
          <w:color w:val="080808"/>
          <w:sz w:val="21"/>
        </w:rPr>
        <w:t>The test: a colleague can pick this up on the day and complete step one. If protection genuinely happens first, the other three steps have something to preserve, report and record.</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