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Quicksand" w:hAnsi="Quicksand" w:cs="Quicksand" w:eastAsia="Noto Sans TC"/>
          <w:b/>
          <w:color w:val="080808"/>
          <w:sz w:val="44"/>
        </w:rPr>
        <w:t>One page for parents: three to do, three to avoid</w:t>
      </w:r>
    </w:p>
    <w:p>
      <w:r>
        <w:rPr>
          <w:rFonts w:ascii="Quicksand" w:hAnsi="Quicksand" w:cs="Quicksand" w:eastAsia="Noto Sans TC"/>
          <w:color w:val="6F6F6F"/>
          <w:sz w:val="24"/>
        </w:rPr>
        <w:t>When your child meets AI-related harassment at school · a single page for parents</w:t>
      </w:r>
    </w:p>
    <w:p>
      <w:r>
        <w:rPr>
          <w:rFonts w:ascii="Quicksand" w:hAnsi="Quicksand" w:cs="Quicksand" w:eastAsia="Noto Sans TC"/>
          <w:color w:val="E10707"/>
          <w:sz w:val="18"/>
        </w:rPr>
        <w:t>──────────────────────────────────────────────</w:t>
      </w:r>
    </w:p>
    <w:p>
      <w:r>
        <w:rPr>
          <w:rFonts w:ascii="Quicksand" w:hAnsi="Quicksand" w:cs="Quicksand" w:eastAsia="Noto Sans TC"/>
          <w:b w:val="0"/>
          <w:color w:val="080808"/>
          <w:sz w:val="21"/>
        </w:rPr>
        <w:t>This page does not describe the incident. It sets out three things a parent can do and three to avoid. The school handles the case through its own arrangements; this page is about what you can do in the next few days.</w:t>
      </w:r>
    </w:p>
    <w:p>
      <w:pPr>
        <w:spacing w:before="240" w:after="80"/>
      </w:pPr>
      <w:r>
        <w:rPr>
          <w:rFonts w:ascii="Quicksand" w:hAnsi="Quicksand" w:cs="Quicksand" w:eastAsia="Noto Sans TC"/>
          <w:b/>
          <w:color w:val="080808"/>
          <w:sz w:val="24"/>
        </w:rPr>
        <w:t>Three things to do</w:t>
      </w:r>
    </w:p>
    <w:p>
      <w:pPr>
        <w:pStyle w:val="ListBullet"/>
      </w:pPr>
      <w:r>
        <w:rPr>
          <w:rFonts w:ascii="Quicksand" w:hAnsi="Quicksand" w:cs="Quicksand" w:eastAsia="Noto Sans TC"/>
          <w:sz w:val="21"/>
        </w:rPr>
        <w:t>1  Keep what your child received; do not delete it first. Preserve the message and the screen as they are, without deleting or editing, and tell the school. How it is preserved is handled by one colleague the school names.</w:t>
      </w:r>
    </w:p>
    <w:p>
      <w:pPr>
        <w:pStyle w:val="ListBullet"/>
      </w:pPr>
      <w:r>
        <w:rPr>
          <w:rFonts w:ascii="Quicksand" w:hAnsi="Quicksand" w:cs="Quicksand" w:eastAsia="Noto Sans TC"/>
          <w:sz w:val="21"/>
        </w:rPr>
        <w:t>2  Report it to the school in writing, with your child. Write it together, addressed to the coordinator the school names. The time and what was seen are enough; there is no need to describe feelings.</w:t>
      </w:r>
    </w:p>
    <w:p>
      <w:pPr>
        <w:pStyle w:val="ListBullet"/>
      </w:pPr>
      <w:r>
        <w:rPr>
          <w:rFonts w:ascii="Quicksand" w:hAnsi="Quicksand" w:cs="Quicksand" w:eastAsia="Noto Sans TC"/>
          <w:sz w:val="21"/>
        </w:rPr>
        <w:t>3  Ask the school to confirm the next step in writing. One sentence — when someone will contact me again, and what happens next — is the reply a parent most needs.</w:t>
      </w:r>
    </w:p>
    <w:p>
      <w:pPr>
        <w:spacing w:before="240" w:after="80"/>
      </w:pPr>
      <w:r>
        <w:rPr>
          <w:rFonts w:ascii="Quicksand" w:hAnsi="Quicksand" w:cs="Quicksand" w:eastAsia="Noto Sans TC"/>
          <w:b/>
          <w:color w:val="080808"/>
          <w:sz w:val="24"/>
        </w:rPr>
        <w:t>Three things to avoid</w:t>
      </w:r>
    </w:p>
    <w:p>
      <w:pPr>
        <w:pStyle w:val="ListBullet"/>
      </w:pPr>
      <w:r>
        <w:rPr>
          <w:rFonts w:ascii="Quicksand" w:hAnsi="Quicksand" w:cs="Quicksand" w:eastAsia="Noto Sans TC"/>
          <w:sz w:val="21"/>
        </w:rPr>
        <w:t>1  Do not forward or discuss it in a parents' group. Every forward makes another copy, and every discussion gives the child one more audience.</w:t>
      </w:r>
    </w:p>
    <w:p>
      <w:pPr>
        <w:pStyle w:val="ListBullet"/>
      </w:pPr>
      <w:r>
        <w:rPr>
          <w:rFonts w:ascii="Quicksand" w:hAnsi="Quicksand" w:cs="Quicksand" w:eastAsia="Noto Sans TC"/>
          <w:sz w:val="21"/>
        </w:rPr>
        <w:t>2  Do not contact the other parent directly. The school arranges that conversation; direct contact between parents usually leaves the two accounts further apart.</w:t>
      </w:r>
    </w:p>
    <w:p>
      <w:pPr>
        <w:pStyle w:val="ListBullet"/>
      </w:pPr>
      <w:r>
        <w:rPr>
          <w:rFonts w:ascii="Quicksand" w:hAnsi="Quicksand" w:cs="Quicksand" w:eastAsia="Noto Sans TC"/>
          <w:sz w:val="21"/>
        </w:rPr>
        <w:t>3  Do not take the phone away as a punishment. The phone may be how the child reaches friends and asks for help; removing it as a penalty teaches them not to say anything next time.</w:t>
      </w:r>
    </w:p>
    <w:tbl>
      <w:tblPr>
        <w:tblW w:type="auto" w:w="0"/>
        <w:tblLook w:firstColumn="1" w:firstRow="1" w:lastColumn="0" w:lastRow="0" w:noHBand="0" w:noVBand="1" w:val="04A0"/>
      </w:tblPr>
      <w:tblGrid>
        <w:gridCol w:w="9638"/>
      </w:tblGrid>
      <w:tr>
        <w:tc>
          <w:tcPr>
            <w:tcW w:type="dxa" w:w="9638"/>
            <w:shd w:val="clear" w:fill="FDEAEA"/>
          </w:tcPr>
          <w:p>
            <w:r/>
            <w:r>
              <w:rPr>
                <w:rFonts w:ascii="Quicksand" w:hAnsi="Quicksand" w:cs="Quicksand" w:eastAsia="Noto Sans TC"/>
                <w:color w:val="080808"/>
                <w:sz w:val="20"/>
              </w:rPr>
              <w:t>If your child does not want to talk over the next few days, there is no need to make them tell it all at once. Let them know the school is handling it, and tell them when someone will contact them again.</w:t>
            </w:r>
          </w:p>
        </w:tc>
      </w:tr>
    </w:tbl>
    <w:p>
      <w:r>
        <w:rPr>
          <w:rFonts w:ascii="Quicksand" w:hAnsi="Quicksand" w:cs="Quicksand" w:eastAsia="Noto Sans TC"/>
          <w:b w:val="0"/>
          <w:color w:val="080808"/>
          <w:sz w:val="21"/>
        </w:rPr>
        <w:t>This page has three things to do and three to avoid, six in total. It has no space for describing the incident, no name or class field, and no reply slip; anything you need to add goes through the contact route already on the school letter.</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Quicksand" w:hAnsi="Quicksand" w:eastAsia="Noto Sans TC"/>
      <w:color w:val="08080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