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Teacher note: how to use the academic integrity declaration</w:t>
      </w:r>
    </w:p>
    <w:p>
      <w:r>
        <w:rPr>
          <w:rFonts w:ascii="Quicksand" w:hAnsi="Quicksand" w:cs="Quicksand" w:eastAsia="Noto Sans TC"/>
          <w:color w:val="6F6F6F"/>
          <w:sz w:val="24"/>
        </w:rPr>
        <w:t>S1-S6 cross-subject · for teachers · version 1.0 (2026-11-05)</w:t>
      </w:r>
    </w:p>
    <w:p>
      <w:r>
        <w:rPr>
          <w:rFonts w:ascii="Quicksand" w:hAnsi="Quicksand" w:cs="Quicksand" w:eastAsia="Noto Sans TC"/>
          <w:color w:val="E10707"/>
          <w:sz w:val="18"/>
        </w:rPr>
        <w:t>──────────────────────────────────────────────</w:t>
      </w:r>
    </w:p>
    <w:p>
      <w:pPr>
        <w:spacing w:before="240" w:after="80"/>
      </w:pPr>
      <w:r>
        <w:rPr>
          <w:rFonts w:ascii="Quicksand" w:hAnsi="Quicksand" w:cs="Quicksand" w:eastAsia="Noto Sans TC"/>
          <w:b/>
          <w:color w:val="080808"/>
          <w:sz w:val="24"/>
        </w:rPr>
        <w:t>The five header facts</w:t>
      </w:r>
    </w:p>
    <w:tbl>
      <w:tblPr>
        <w:tblStyle w:val="TableGrid"/>
        <w:tblW w:type="auto" w:w="0"/>
        <w:jc w:val="left"/>
        <w:tblLook w:firstColumn="1" w:firstRow="1" w:lastColumn="0" w:lastRow="0" w:noHBand="0" w:noVBand="1" w:val="04A0"/>
      </w:tblPr>
      <w:tblGrid>
        <w:gridCol w:w="4819"/>
        <w:gridCol w:w="4819"/>
      </w:tblGrid>
      <w:tr>
        <w:tc>
          <w:tcPr>
            <w:tcW w:type="dxa" w:w="2203"/>
            <w:shd w:val="clear" w:fill="E10707"/>
          </w:tcPr>
          <w:p>
            <w:r/>
            <w:r>
              <w:rPr>
                <w:rFonts w:ascii="Quicksand" w:hAnsi="Quicksand" w:cs="Quicksand" w:eastAsia="Noto Sans TC"/>
                <w:b/>
                <w:color w:val="FFFFFF"/>
                <w:sz w:val="20"/>
              </w:rPr>
              <w:t>Field</w:t>
            </w:r>
          </w:p>
        </w:tc>
        <w:tc>
          <w:tcPr>
            <w:tcW w:type="dxa" w:w="7435"/>
            <w:shd w:val="clear" w:fill="E10707"/>
          </w:tcPr>
          <w:p>
            <w:r/>
            <w:r>
              <w:rPr>
                <w:rFonts w:ascii="Quicksand" w:hAnsi="Quicksand" w:cs="Quicksand" w:eastAsia="Noto Sans TC"/>
                <w:b/>
                <w:color w:val="FFFFFF"/>
                <w:sz w:val="20"/>
              </w:rPr>
              <w:t>Detail</w:t>
            </w:r>
          </w:p>
        </w:tc>
      </w:tr>
      <w:tr>
        <w:tc>
          <w:tcPr>
            <w:tcW w:type="dxa" w:w="2203"/>
          </w:tcPr>
          <w:p>
            <w:r/>
            <w:r>
              <w:rPr>
                <w:rFonts w:ascii="Quicksand" w:hAnsi="Quicksand" w:cs="Quicksand" w:eastAsia="Noto Sans TC"/>
                <w:sz w:val="20"/>
              </w:rPr>
              <w:t>Stage</w:t>
            </w:r>
          </w:p>
        </w:tc>
        <w:tc>
          <w:tcPr>
            <w:tcW w:type="dxa" w:w="7435"/>
          </w:tcPr>
          <w:p>
            <w:r/>
            <w:r>
              <w:rPr>
                <w:rFonts w:ascii="Quicksand" w:hAnsi="Quicksand" w:cs="Quicksand" w:eastAsia="Noto Sans TC"/>
                <w:sz w:val="20"/>
              </w:rPr>
              <w:t>S1-S6</w:t>
            </w:r>
          </w:p>
        </w:tc>
      </w:tr>
      <w:tr>
        <w:tc>
          <w:tcPr>
            <w:tcW w:type="dxa" w:w="2203"/>
          </w:tcPr>
          <w:p>
            <w:r/>
            <w:r>
              <w:rPr>
                <w:rFonts w:ascii="Quicksand" w:hAnsi="Quicksand" w:cs="Quicksand" w:eastAsia="Noto Sans TC"/>
                <w:sz w:val="20"/>
              </w:rPr>
              <w:t>Subject</w:t>
            </w:r>
          </w:p>
        </w:tc>
        <w:tc>
          <w:tcPr>
            <w:tcW w:type="dxa" w:w="7435"/>
          </w:tcPr>
          <w:p>
            <w:r/>
            <w:r>
              <w:rPr>
                <w:rFonts w:ascii="Quicksand" w:hAnsi="Quicksand" w:cs="Quicksand" w:eastAsia="Noto Sans TC"/>
                <w:sz w:val="20"/>
              </w:rPr>
              <w:t>Cross-subject</w:t>
            </w:r>
          </w:p>
        </w:tc>
      </w:tr>
      <w:tr>
        <w:tc>
          <w:tcPr>
            <w:tcW w:type="dxa" w:w="2203"/>
          </w:tcPr>
          <w:p>
            <w:r/>
            <w:r>
              <w:rPr>
                <w:rFonts w:ascii="Quicksand" w:hAnsi="Quicksand" w:cs="Quicksand" w:eastAsia="Noto Sans TC"/>
                <w:sz w:val="20"/>
              </w:rPr>
              <w:t>Learning strands</w:t>
            </w:r>
          </w:p>
        </w:tc>
        <w:tc>
          <w:tcPr>
            <w:tcW w:type="dxa" w:w="7435"/>
          </w:tcPr>
          <w:p>
            <w:r/>
            <w:r>
              <w:rPr>
                <w:rFonts w:ascii="Quicksand" w:hAnsi="Quicksand" w:cs="Quicksand" w:eastAsia="Noto Sans TC"/>
                <w:sz w:val="20"/>
              </w:rPr>
              <w:t>The basic operation of AI / human-machine communication and collaboration / reflection on the application of AI</w:t>
            </w:r>
          </w:p>
        </w:tc>
      </w:tr>
      <w:tr>
        <w:tc>
          <w:tcPr>
            <w:tcW w:type="dxa" w:w="2203"/>
          </w:tcPr>
          <w:p>
            <w:r/>
            <w:r>
              <w:rPr>
                <w:rFonts w:ascii="Quicksand" w:hAnsi="Quicksand" w:cs="Quicksand" w:eastAsia="Noto Sans TC"/>
                <w:sz w:val="20"/>
              </w:rPr>
              <w:t>Official documents</w:t>
            </w:r>
          </w:p>
        </w:tc>
        <w:tc>
          <w:tcPr>
            <w:tcW w:type="dxa" w:w="7435"/>
          </w:tcPr>
          <w:p>
            <w:r/>
            <w:r>
              <w:rPr>
                <w:rFonts w:ascii="Quicksand" w:hAnsi="Quicksand" w:cs="Quicksand" w:eastAsia="Noto Sans TC"/>
                <w:sz w:val="20"/>
              </w:rPr>
              <w:t>Blueprint for Digital Education Development in Primary and Secondary Schools; AI Literacy Learning Framework for Primary and Secondary Schools; EDBCM No. 156/2026 (Supplement I, section 4, upholding academic integrity and preventing the outsourcing of thinking; Supplement I, section 3, professional judgement; Supplement II, Teacher Information Pack, "4. Key messages, 4. For students", compliance with the law and safety)</w:t>
            </w:r>
          </w:p>
        </w:tc>
      </w:tr>
      <w:tr>
        <w:tc>
          <w:tcPr>
            <w:tcW w:type="dxa" w:w="2203"/>
          </w:tcPr>
          <w:p>
            <w:r/>
            <w:r>
              <w:rPr>
                <w:rFonts w:ascii="Quicksand" w:hAnsi="Quicksand" w:cs="Quicksand" w:eastAsia="Noto Sans TC"/>
                <w:sz w:val="20"/>
              </w:rPr>
              <w:t>Time to prepare</w:t>
            </w:r>
          </w:p>
        </w:tc>
        <w:tc>
          <w:tcPr>
            <w:tcW w:type="dxa" w:w="7435"/>
          </w:tcPr>
          <w:p>
            <w:r/>
            <w:r>
              <w:rPr>
                <w:rFonts w:ascii="Quicksand" w:hAnsi="Quicksand" w:cs="Quicksand" w:eastAsia="Noto Sans TC"/>
                <w:sz w:val="20"/>
              </w:rPr>
              <w:t>about 10 minutes for the teacher's first explanation; about 30 seconds per piece of work for a student</w:t>
            </w:r>
          </w:p>
        </w:tc>
      </w:tr>
    </w:tbl>
    <w:p>
      <w:pPr>
        <w:spacing w:before="240" w:after="80"/>
      </w:pPr>
      <w:r>
        <w:rPr>
          <w:rFonts w:ascii="Quicksand" w:hAnsi="Quicksand" w:cs="Quicksand" w:eastAsia="Noto Sans TC"/>
          <w:b/>
          <w:color w:val="080808"/>
          <w:sz w:val="24"/>
        </w:rPr>
        <w:t>What this page is for</w:t>
      </w:r>
    </w:p>
    <w:p>
      <w:pPr>
        <w:pStyle w:val="ListBullet"/>
      </w:pPr>
      <w:r>
        <w:rPr>
          <w:rFonts w:ascii="Quicksand" w:hAnsi="Quicksand" w:cs="Quicksand" w:eastAsia="Noto Sans TC"/>
          <w:sz w:val="21"/>
        </w:rPr>
        <w:t>It lets a student say in thirty seconds which level applies, where the tool was used, and how the work was checked and rewritten.</w:t>
      </w:r>
    </w:p>
    <w:p>
      <w:pPr>
        <w:pStyle w:val="ListBullet"/>
      </w:pPr>
      <w:r>
        <w:rPr>
          <w:rFonts w:ascii="Quicksand" w:hAnsi="Quicksand" w:cs="Quicksand" w:eastAsia="Noto Sans TC"/>
          <w:sz w:val="21"/>
        </w:rPr>
        <w:t>It gives the teacher one place to sample — column 5 — instead of reading every piece in full.</w:t>
      </w:r>
    </w:p>
    <w:p>
      <w:pPr>
        <w:pStyle w:val="ListBullet"/>
      </w:pPr>
      <w:r>
        <w:rPr>
          <w:rFonts w:ascii="Quicksand" w:hAnsi="Quicksand" w:cs="Quicksand" w:eastAsia="Noto Sans TC"/>
          <w:sz w:val="21"/>
        </w:rPr>
        <w:t>It gives a subject panel a shared record to refer to when it decides whether a piece is acceptable.</w:t>
      </w:r>
    </w:p>
    <w:p>
      <w:r>
        <w:rPr>
          <w:rFonts w:ascii="Quicksand" w:hAnsi="Quicksand" w:cs="Quicksand" w:eastAsia="Noto Sans TC"/>
          <w:b w:val="0"/>
          <w:color w:val="080808"/>
          <w:sz w:val="21"/>
        </w:rPr>
        <w:t>The declaration does not alter the school's assessment policy and does not apply to tests or examinations; whether a piece is accepted, and at which level, is decided by the subject panel and the school's arrangements. Using AI is not in itself a breach — the page records the extent of use and whether the work was checked and rewritten.</w:t>
      </w:r>
    </w:p>
    <w:p>
      <w:pPr>
        <w:spacing w:before="240" w:after="80"/>
      </w:pPr>
      <w:r>
        <w:rPr>
          <w:rFonts w:ascii="Quicksand" w:hAnsi="Quicksand" w:cs="Quicksand" w:eastAsia="Noto Sans TC"/>
          <w:b/>
          <w:color w:val="080808"/>
          <w:sz w:val="24"/>
        </w:rPr>
        <w:t>Three situations</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937"/>
            <w:shd w:val="clear" w:fill="E10707"/>
          </w:tcPr>
          <w:p>
            <w:r/>
            <w:r>
              <w:rPr>
                <w:rFonts w:ascii="Quicksand" w:hAnsi="Quicksand" w:cs="Quicksand" w:eastAsia="Noto Sans TC"/>
                <w:b/>
                <w:color w:val="FFFFFF"/>
                <w:sz w:val="20"/>
              </w:rPr>
              <w:t>Situation</w:t>
            </w:r>
          </w:p>
        </w:tc>
        <w:tc>
          <w:tcPr>
            <w:tcW w:type="dxa" w:w="2008"/>
            <w:shd w:val="clear" w:fill="E10707"/>
          </w:tcPr>
          <w:p>
            <w:r/>
            <w:r>
              <w:rPr>
                <w:rFonts w:ascii="Quicksand" w:hAnsi="Quicksand" w:cs="Quicksand" w:eastAsia="Noto Sans TC"/>
                <w:b/>
                <w:color w:val="FFFFFF"/>
                <w:sz w:val="20"/>
              </w:rPr>
              <w:t>When</w:t>
            </w:r>
          </w:p>
        </w:tc>
        <w:tc>
          <w:tcPr>
            <w:tcW w:type="dxa" w:w="4283"/>
            <w:shd w:val="clear" w:fill="E10707"/>
          </w:tcPr>
          <w:p>
            <w:r/>
            <w:r>
              <w:rPr>
                <w:rFonts w:ascii="Quicksand" w:hAnsi="Quicksand" w:cs="Quicksand" w:eastAsia="Noto Sans TC"/>
                <w:b/>
                <w:color w:val="FFFFFF"/>
                <w:sz w:val="20"/>
              </w:rPr>
              <w:t>What the teacher does</w:t>
            </w:r>
          </w:p>
        </w:tc>
        <w:tc>
          <w:tcPr>
            <w:tcW w:type="dxa" w:w="2409"/>
            <w:shd w:val="clear" w:fill="E10707"/>
          </w:tcPr>
          <w:p>
            <w:r/>
            <w:r>
              <w:rPr>
                <w:rFonts w:ascii="Quicksand" w:hAnsi="Quicksand" w:cs="Quicksand" w:eastAsia="Noto Sans TC"/>
                <w:b/>
                <w:color w:val="FFFFFF"/>
                <w:sz w:val="20"/>
              </w:rPr>
              <w:t>What the teacher does not do</w:t>
            </w:r>
          </w:p>
        </w:tc>
      </w:tr>
      <w:tr>
        <w:tc>
          <w:tcPr>
            <w:tcW w:type="dxa" w:w="937"/>
          </w:tcPr>
          <w:p>
            <w:r/>
            <w:r>
              <w:rPr>
                <w:rFonts w:ascii="Quicksand" w:hAnsi="Quicksand" w:cs="Quicksand" w:eastAsia="Noto Sans TC"/>
                <w:sz w:val="20"/>
              </w:rPr>
              <w:t>Before</w:t>
            </w:r>
          </w:p>
        </w:tc>
        <w:tc>
          <w:tcPr>
            <w:tcW w:type="dxa" w:w="2008"/>
          </w:tcPr>
          <w:p>
            <w:r/>
            <w:r>
              <w:rPr>
                <w:rFonts w:ascii="Quicksand" w:hAnsi="Quicksand" w:cs="Quicksand" w:eastAsia="Noto Sans TC"/>
                <w:sz w:val="20"/>
              </w:rPr>
              <w:t>When the first piece is set, about 10 minutes</w:t>
            </w:r>
          </w:p>
        </w:tc>
        <w:tc>
          <w:tcPr>
            <w:tcW w:type="dxa" w:w="4283"/>
          </w:tcPr>
          <w:p>
            <w:r/>
            <w:r>
              <w:rPr>
                <w:rFonts w:ascii="Quicksand" w:hAnsi="Quicksand" w:cs="Quicksand" w:eastAsia="Noto Sans TC"/>
                <w:sz w:val="20"/>
              </w:rPr>
              <w:t>Hand it out with the first piece, spend 10 minutes on the four levels and the three examples in column 5, and say that the page is not marked and not ranked</w:t>
            </w:r>
          </w:p>
        </w:tc>
        <w:tc>
          <w:tcPr>
            <w:tcW w:type="dxa" w:w="2409"/>
          </w:tcPr>
          <w:p>
            <w:r/>
            <w:r>
              <w:rPr>
                <w:rFonts w:ascii="Quicksand" w:hAnsi="Quicksand" w:cs="Quicksand" w:eastAsia="Noto Sans TC"/>
                <w:sz w:val="20"/>
              </w:rPr>
              <w:t>Read all six columns aloud; raise consequences at the first use</w:t>
            </w:r>
          </w:p>
        </w:tc>
      </w:tr>
      <w:tr>
        <w:tc>
          <w:tcPr>
            <w:tcW w:type="dxa" w:w="937"/>
          </w:tcPr>
          <w:p>
            <w:r/>
            <w:r>
              <w:rPr>
                <w:rFonts w:ascii="Quicksand" w:hAnsi="Quicksand" w:cs="Quicksand" w:eastAsia="Noto Sans TC"/>
                <w:sz w:val="20"/>
              </w:rPr>
              <w:t>During</w:t>
            </w:r>
          </w:p>
        </w:tc>
        <w:tc>
          <w:tcPr>
            <w:tcW w:type="dxa" w:w="2008"/>
          </w:tcPr>
          <w:p>
            <w:r/>
            <w:r>
              <w:rPr>
                <w:rFonts w:ascii="Quicksand" w:hAnsi="Quicksand" w:cs="Quicksand" w:eastAsia="Noto Sans TC"/>
                <w:sz w:val="20"/>
              </w:rPr>
              <w:t>While the work is in progress</w:t>
            </w:r>
          </w:p>
        </w:tc>
        <w:tc>
          <w:tcPr>
            <w:tcW w:type="dxa" w:w="4283"/>
          </w:tcPr>
          <w:p>
            <w:r/>
            <w:r>
              <w:rPr>
                <w:rFonts w:ascii="Quicksand" w:hAnsi="Quicksand" w:cs="Quicksand" w:eastAsia="Noto Sans TC"/>
                <w:sz w:val="20"/>
              </w:rPr>
              <w:t>Sample column 5 only: five to eight pieces, checking whether that sentence states an action. "Checked" with no action means the page is returned for rewriting</w:t>
            </w:r>
          </w:p>
        </w:tc>
        <w:tc>
          <w:tcPr>
            <w:tcW w:type="dxa" w:w="2409"/>
          </w:tcPr>
          <w:p>
            <w:r/>
            <w:r>
              <w:rPr>
                <w:rFonts w:ascii="Quicksand" w:hAnsi="Quicksand" w:cs="Quicksand" w:eastAsia="Noto Sans TC"/>
                <w:sz w:val="20"/>
              </w:rPr>
              <w:t>Read every piece in full; ask students to hand over their chat logs</w:t>
            </w:r>
          </w:p>
        </w:tc>
      </w:tr>
      <w:tr>
        <w:tc>
          <w:tcPr>
            <w:tcW w:type="dxa" w:w="937"/>
          </w:tcPr>
          <w:p>
            <w:r/>
            <w:r>
              <w:rPr>
                <w:rFonts w:ascii="Quicksand" w:hAnsi="Quicksand" w:cs="Quicksand" w:eastAsia="Noto Sans TC"/>
                <w:sz w:val="20"/>
              </w:rPr>
              <w:t>After</w:t>
            </w:r>
          </w:p>
        </w:tc>
        <w:tc>
          <w:tcPr>
            <w:tcW w:type="dxa" w:w="2008"/>
          </w:tcPr>
          <w:p>
            <w:r/>
            <w:r>
              <w:rPr>
                <w:rFonts w:ascii="Quicksand" w:hAnsi="Quicksand" w:cs="Quicksand" w:eastAsia="Noto Sans TC"/>
                <w:sz w:val="20"/>
              </w:rPr>
              <w:t>When the work is returned</w:t>
            </w:r>
          </w:p>
        </w:tc>
        <w:tc>
          <w:tcPr>
            <w:tcW w:type="dxa" w:w="4283"/>
          </w:tcPr>
          <w:p>
            <w:r/>
            <w:r>
              <w:rPr>
                <w:rFonts w:ascii="Quicksand" w:hAnsi="Quicksand" w:cs="Quicksand" w:eastAsia="Noto Sans TC"/>
                <w:sz w:val="20"/>
              </w:rPr>
              <w:t>Compare with the verification record: what the student says they checked and what the record shows. A serious case goes through the school's arrangements</w:t>
            </w:r>
          </w:p>
        </w:tc>
        <w:tc>
          <w:tcPr>
            <w:tcW w:type="dxa" w:w="2409"/>
          </w:tcPr>
          <w:p>
            <w:r/>
            <w:r>
              <w:rPr>
                <w:rFonts w:ascii="Quicksand" w:hAnsi="Quicksand" w:cs="Quicksand" w:eastAsia="Noto Sans TC"/>
                <w:sz w:val="20"/>
              </w:rPr>
              <w:t>Decide on their own that it is a breach; use the declaration as grounds for a penalty</w:t>
            </w:r>
          </w:p>
        </w:tc>
      </w:tr>
    </w:tbl>
    <w:p>
      <w:pPr>
        <w:pStyle w:val="ListBullet"/>
      </w:pPr>
      <w:r>
        <w:rPr>
          <w:rFonts w:ascii="Quicksand" w:hAnsi="Quicksand" w:cs="Quicksand" w:eastAsia="Noto Sans TC"/>
          <w:sz w:val="21"/>
        </w:rPr>
        <w:t>Sampling column 5 during the work is what makes it last: five to eight pieces, ten times a term, is sustainable; checking every piece is done once and then abandoned.</w:t>
      </w:r>
    </w:p>
    <w:p>
      <w:pPr>
        <w:pStyle w:val="ListBullet"/>
      </w:pPr>
      <w:r>
        <w:rPr>
          <w:rFonts w:ascii="Quicksand" w:hAnsi="Quicksand" w:cs="Quicksand" w:eastAsia="Noto Sans TC"/>
          <w:sz w:val="21"/>
        </w:rPr>
        <w:t>"Checked" with no action stated means the page is returned for rewriting — the only fixed consequence, and not a penalty: it does not affect the mark and is recorded nowhere else.</w:t>
      </w:r>
    </w:p>
    <w:p>
      <w:pPr>
        <w:pStyle w:val="ListBullet"/>
      </w:pPr>
      <w:r>
        <w:rPr>
          <w:rFonts w:ascii="Quicksand" w:hAnsi="Quicksand" w:cs="Quicksand" w:eastAsia="Noto Sans TC"/>
          <w:sz w:val="21"/>
        </w:rPr>
        <w:t>Comparing with the verification record uses one record to check the other; where they disagree, ask which one left something out before asking which one is lying.</w:t>
      </w:r>
    </w:p>
    <w:p>
      <w:pPr>
        <w:spacing w:before="240" w:after="80"/>
      </w:pPr>
      <w:r>
        <w:rPr>
          <w:rFonts w:ascii="Quicksand" w:hAnsi="Quicksand" w:cs="Quicksand" w:eastAsia="Noto Sans TC"/>
          <w:b/>
          <w:color w:val="080808"/>
          <w:sz w:val="24"/>
        </w:rPr>
        <w:t>Why it carries no marks</w:t>
      </w:r>
    </w:p>
    <w:p>
      <w:pPr>
        <w:pStyle w:val="ListBullet"/>
      </w:pPr>
      <w:r>
        <w:rPr>
          <w:rFonts w:ascii="Quicksand" w:hAnsi="Quicksand" w:cs="Quicksand" w:eastAsia="Noto Sans TC"/>
          <w:sz w:val="21"/>
        </w:rPr>
        <w:t>Not marked: once it carries marks, students choose the safer level and the record stops being credible.</w:t>
      </w:r>
    </w:p>
    <w:p>
      <w:pPr>
        <w:pStyle w:val="ListBullet"/>
      </w:pPr>
      <w:r>
        <w:rPr>
          <w:rFonts w:ascii="Quicksand" w:hAnsi="Quicksand" w:cs="Quicksand" w:eastAsia="Noto Sans TC"/>
          <w:sz w:val="21"/>
        </w:rPr>
        <w:t>Not ranked: comparing the spread of L0 to L3 between classes turns tool use into something to be compared.</w:t>
      </w:r>
    </w:p>
    <w:p>
      <w:pPr>
        <w:pStyle w:val="ListBullet"/>
      </w:pPr>
      <w:r>
        <w:rPr>
          <w:rFonts w:ascii="Quicksand" w:hAnsi="Quicksand" w:cs="Quicksand" w:eastAsia="Noto Sans TC"/>
          <w:sz w:val="21"/>
        </w:rPr>
        <w:t>Not linked to appraisal: otherwise teachers would ask students to write less, not more.</w:t>
      </w:r>
    </w:p>
    <w:p>
      <w:pPr>
        <w:spacing w:before="240" w:after="80"/>
      </w:pPr>
      <w:r>
        <w:rPr>
          <w:rFonts w:ascii="Quicksand" w:hAnsi="Quicksand" w:cs="Quicksand" w:eastAsia="Noto Sans TC"/>
          <w:b/>
          <w:color w:val="080808"/>
          <w:sz w:val="24"/>
        </w:rPr>
        <w:t>Column 5: what stands up, and what comes back</w:t>
      </w:r>
    </w:p>
    <w:tbl>
      <w:tblPr>
        <w:tblStyle w:val="TableGrid"/>
        <w:tblW w:type="auto" w:w="0"/>
        <w:jc w:val="left"/>
        <w:tblLook w:firstColumn="1" w:firstRow="1" w:lastColumn="0" w:lastRow="0" w:noHBand="0" w:noVBand="1" w:val="04A0"/>
      </w:tblPr>
      <w:tblGrid>
        <w:gridCol w:w="4819"/>
        <w:gridCol w:w="4819"/>
      </w:tblGrid>
      <w:tr>
        <w:tc>
          <w:tcPr>
            <w:tcW w:type="dxa" w:w="4819"/>
            <w:shd w:val="clear" w:fill="E10707"/>
          </w:tcPr>
          <w:p>
            <w:r/>
            <w:r>
              <w:rPr>
                <w:rFonts w:ascii="Quicksand" w:hAnsi="Quicksand" w:cs="Quicksand" w:eastAsia="Noto Sans TC"/>
                <w:b/>
                <w:color w:val="FFFFFF"/>
                <w:sz w:val="20"/>
              </w:rPr>
              <w:t>What stands up (examples fictional)</w:t>
            </w:r>
          </w:p>
        </w:tc>
        <w:tc>
          <w:tcPr>
            <w:tcW w:type="dxa" w:w="4819"/>
            <w:shd w:val="clear" w:fill="E10707"/>
          </w:tcPr>
          <w:p>
            <w:r/>
            <w:r>
              <w:rPr>
                <w:rFonts w:ascii="Quicksand" w:hAnsi="Quicksand" w:cs="Quicksand" w:eastAsia="Noto Sans TC"/>
                <w:b/>
                <w:color w:val="FFFFFF"/>
                <w:sz w:val="20"/>
              </w:rPr>
              <w:t>What comes back for rewriting</w:t>
            </w:r>
          </w:p>
        </w:tc>
      </w:tr>
      <w:tr>
        <w:tc>
          <w:tcPr>
            <w:tcW w:type="dxa" w:w="4819"/>
          </w:tcPr>
          <w:p>
            <w:r/>
            <w:r>
              <w:rPr>
                <w:rFonts w:ascii="Quicksand" w:hAnsi="Quicksand" w:cs="Quicksand" w:eastAsia="Noto Sans TC"/>
                <w:sz w:val="20"/>
              </w:rPr>
              <w:t>"Checked the figure against chapter 3 and the official website; the two differed, so I used the textbook's"</w:t>
            </w:r>
          </w:p>
        </w:tc>
        <w:tc>
          <w:tcPr>
            <w:tcW w:type="dxa" w:w="4819"/>
          </w:tcPr>
          <w:p>
            <w:r/>
            <w:r>
              <w:rPr>
                <w:rFonts w:ascii="Quicksand" w:hAnsi="Quicksand" w:cs="Quicksand" w:eastAsia="Noto Sans TC"/>
                <w:sz w:val="20"/>
              </w:rPr>
              <w:t>"Checked" — no indication of what was checked or against what</w:t>
            </w:r>
          </w:p>
        </w:tc>
      </w:tr>
      <w:tr>
        <w:tc>
          <w:tcPr>
            <w:tcW w:type="dxa" w:w="4819"/>
          </w:tcPr>
          <w:p>
            <w:r/>
            <w:r>
              <w:rPr>
                <w:rFonts w:ascii="Quicksand" w:hAnsi="Quicksand" w:cs="Quicksand" w:eastAsia="Noto Sans TC"/>
                <w:sz w:val="20"/>
              </w:rPr>
              <w:t>"Merged the tool's three paragraphs into two, rewrote every sentence, removed one figure that had no source"</w:t>
            </w:r>
          </w:p>
        </w:tc>
        <w:tc>
          <w:tcPr>
            <w:tcW w:type="dxa" w:w="4819"/>
          </w:tcPr>
          <w:p>
            <w:r/>
            <w:r>
              <w:rPr>
                <w:rFonts w:ascii="Quicksand" w:hAnsi="Quicksand" w:cs="Quicksand" w:eastAsia="Noto Sans TC"/>
                <w:sz w:val="20"/>
              </w:rPr>
              <w:t>"Rewrote some of it" — no indication of which part, or how much</w:t>
            </w:r>
          </w:p>
        </w:tc>
      </w:tr>
      <w:tr>
        <w:tc>
          <w:tcPr>
            <w:tcW w:type="dxa" w:w="4819"/>
          </w:tcPr>
          <w:p>
            <w:r/>
            <w:r>
              <w:rPr>
                <w:rFonts w:ascii="Quicksand" w:hAnsi="Quicksand" w:cs="Quicksand" w:eastAsia="Noto Sans TC"/>
                <w:sz w:val="20"/>
              </w:rPr>
              <w:t>"The tool gave a year that does not appear in our textbook, so I removed it"</w:t>
            </w:r>
          </w:p>
        </w:tc>
        <w:tc>
          <w:tcPr>
            <w:tcW w:type="dxa" w:w="4819"/>
          </w:tcPr>
          <w:p>
            <w:r/>
            <w:r>
              <w:rPr>
                <w:rFonts w:ascii="Quicksand" w:hAnsi="Quicksand" w:cs="Quicksand" w:eastAsia="Noto Sans TC"/>
                <w:sz w:val="20"/>
              </w:rPr>
              <w:t>"Looked at sources" — no indication of which source</w:t>
            </w:r>
          </w:p>
        </w:tc>
      </w:tr>
      <w:tr>
        <w:tc>
          <w:tcPr>
            <w:tcW w:type="dxa" w:w="4819"/>
          </w:tcPr>
          <w:p>
            <w:r/>
            <w:r>
              <w:rPr>
                <w:rFonts w:ascii="Quicksand" w:hAnsi="Quicksand" w:cs="Quicksand" w:eastAsia="Noto Sans TC"/>
                <w:sz w:val="20"/>
              </w:rPr>
            </w:r>
          </w:p>
        </w:tc>
        <w:tc>
          <w:tcPr>
            <w:tcW w:type="dxa" w:w="4819"/>
          </w:tcPr>
          <w:p>
            <w:r/>
            <w:r>
              <w:rPr>
                <w:rFonts w:ascii="Quicksand" w:hAnsi="Quicksand" w:cs="Quicksand" w:eastAsia="Noto Sans TC"/>
                <w:sz w:val="20"/>
              </w:rPr>
              <w:t>"The teacher will understand" — the explanation is left for the reader to complete</w:t>
            </w:r>
          </w:p>
        </w:tc>
      </w:tr>
    </w:tbl>
    <w:p>
      <w:r>
        <w:rPr>
          <w:rFonts w:ascii="Quicksand" w:hAnsi="Quicksand" w:cs="Quicksand" w:eastAsia="Noto Sans TC"/>
          <w:b w:val="0"/>
          <w:color w:val="080808"/>
          <w:sz w:val="21"/>
        </w:rPr>
        <w:t>Two references in the library: the verification page is the hallucination hunt (a repeatable multi-source verification routine); a serious case follows the school's arrangements as set out in the four-step procedure for responding to AI-generated harassment. Neither is rewritten here, and this page adds no further form.</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